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86D9" w14:textId="607BBAD3" w:rsidR="00CC58E5" w:rsidRPr="00F70A12" w:rsidRDefault="00721081" w:rsidP="00017B4A">
      <w:pPr>
        <w:rPr>
          <w:b/>
        </w:rPr>
      </w:pPr>
      <w:r w:rsidRPr="00F70A12">
        <w:rPr>
          <w:rFonts w:hint="eastAsia"/>
          <w:b/>
        </w:rPr>
        <w:t>典型驾驶情景下驾驶员</w:t>
      </w:r>
      <w:r w:rsidR="003C488F" w:rsidRPr="00F70A12">
        <w:rPr>
          <w:rFonts w:hint="eastAsia"/>
          <w:b/>
        </w:rPr>
        <w:t>对</w:t>
      </w:r>
      <w:r w:rsidRPr="00F70A12">
        <w:rPr>
          <w:rFonts w:hint="eastAsia"/>
          <w:b/>
        </w:rPr>
        <w:t>心理</w:t>
      </w:r>
      <w:r w:rsidR="003C488F" w:rsidRPr="00F70A12">
        <w:rPr>
          <w:rFonts w:hint="eastAsia"/>
          <w:b/>
        </w:rPr>
        <w:t>压力增加的反应模式</w:t>
      </w:r>
      <w:r w:rsidRPr="00F70A12">
        <w:rPr>
          <w:rFonts w:hint="eastAsia"/>
          <w:b/>
        </w:rPr>
        <w:t>研究</w:t>
      </w:r>
    </w:p>
    <w:p w14:paraId="1D7F07E8" w14:textId="2D5F14E4" w:rsidR="00734B16" w:rsidRDefault="00734B16" w:rsidP="00017B4A"/>
    <w:p w14:paraId="7BEE218D" w14:textId="25AABFE2" w:rsidR="00017B4A" w:rsidRPr="00A421B3" w:rsidRDefault="00017B4A" w:rsidP="00017B4A">
      <w:pPr>
        <w:rPr>
          <w:b/>
        </w:rPr>
      </w:pPr>
      <w:r w:rsidRPr="00A421B3">
        <w:rPr>
          <w:rFonts w:hint="eastAsia"/>
          <w:b/>
        </w:rPr>
        <w:t>摘要</w:t>
      </w:r>
    </w:p>
    <w:p w14:paraId="3F9C115A" w14:textId="77777777" w:rsidR="00017B4A" w:rsidRDefault="00017B4A" w:rsidP="00017B4A"/>
    <w:p w14:paraId="78B12E36" w14:textId="37338FD6" w:rsidR="00017B4A" w:rsidRDefault="00017B4A" w:rsidP="001D63FF">
      <w:pPr>
        <w:ind w:firstLine="420"/>
      </w:pPr>
      <w:r>
        <w:rPr>
          <w:rFonts w:hint="eastAsia"/>
        </w:rPr>
        <w:t>为了促进驾驶安全，需要深入了解驾驶员对心理压力增加的反应模式。本文重点在于通过层次聚类方法提取驾驶员反应模式从而获得整体的理解。该反应模式由驾驶表现和眼球运动共同描述。通过一款基于运动的驾驶模拟器，收集到</w:t>
      </w:r>
      <w:r>
        <w:t>26名参与者的数据，其中研究了两个典型的驾驶场景，即停车控制的交叉路口（对心理负荷量的需求高）和限速高速公路（对心理负荷的需求低）。</w:t>
      </w:r>
      <w:r>
        <w:rPr>
          <w:rFonts w:hint="eastAsia"/>
        </w:rPr>
        <w:t>我们在高速公路驾驶中发现了</w:t>
      </w:r>
      <w:r>
        <w:t>2种反应模式，在城市驾驶中发现了4种反应模式。这些模式可以通过驾驶表现、眼球运动和可测量的心理负荷之间的相互作用机制来解释。</w:t>
      </w:r>
      <w:r>
        <w:rPr>
          <w:rFonts w:hint="eastAsia"/>
        </w:rPr>
        <w:t>结果表明，与许多以前的研究不同，驾驶表现和眼球运动的趋势实际上并不一定与心理负荷增加有相互关联。与高度多样化的驾驶表现相比，心理工作量总是与注视变化的最小化相关联。</w:t>
      </w:r>
    </w:p>
    <w:p w14:paraId="4046D5FD" w14:textId="77777777" w:rsidR="00017B4A" w:rsidRDefault="00017B4A" w:rsidP="00017B4A"/>
    <w:p w14:paraId="788C14DC" w14:textId="5073F201" w:rsidR="00017B4A" w:rsidRPr="00A421B3" w:rsidRDefault="00225569" w:rsidP="00017B4A">
      <w:pPr>
        <w:rPr>
          <w:b/>
        </w:rPr>
      </w:pPr>
      <w:r>
        <w:rPr>
          <w:rFonts w:hint="eastAsia"/>
          <w:b/>
        </w:rPr>
        <w:t>绪论</w:t>
      </w:r>
    </w:p>
    <w:p w14:paraId="4BEF76F4" w14:textId="77777777" w:rsidR="00017B4A" w:rsidRDefault="00017B4A" w:rsidP="00017B4A"/>
    <w:p w14:paraId="43A5D1D0" w14:textId="2A054C4A" w:rsidR="00017B4A" w:rsidRDefault="00017B4A" w:rsidP="008A2781">
      <w:pPr>
        <w:ind w:firstLine="420"/>
      </w:pPr>
      <w:r>
        <w:rPr>
          <w:rFonts w:hint="eastAsia"/>
        </w:rPr>
        <w:t>两个常见的发生意外的位置是高速公路和停车控制的十字路口。有人担心随着科技被安装到车辆，司机的心理负荷将会增加，特别是在这两个地方。以前关于心理负荷和驾驶行为的研究主要集中在驾驶表现和驾驶员扫视行为统计的定量摘要。尽管采用了稳健的方法和细致的实施分析，但对于这些测量量之间关系的确定却难以有深刻的理解。对于现实世界的应用，心理负荷增加的驾驶员反应模型已经开始考虑到各种数据来源，以此为政策制定者制定决策工具和汽车制造商的安全改进策略提供依据。</w:t>
      </w:r>
    </w:p>
    <w:p w14:paraId="32A3D639" w14:textId="686E7B1C" w:rsidR="00017B4A" w:rsidRDefault="00017B4A" w:rsidP="00BF16E9">
      <w:pPr>
        <w:ind w:firstLine="420"/>
      </w:pPr>
      <w:r>
        <w:rPr>
          <w:rFonts w:hint="eastAsia"/>
        </w:rPr>
        <w:t>目前关于司机行为的研究基本上是随机的，但是对于驾驶员心理负荷增加的反应模式的了解在这一研究领域是一个特别的挑战。过去关于驾驶员表现的研究已经测试了不同道路类型对心理负荷的总体影响。增加的心理负荷会使得驾驶员在转向操作上不太顺畅，但是在道路保持上表现得更好，特别是在高速公路上，然而在复杂的交通情况下，它可能以不同的方式工作。因此，人们会期望在道路类别中，心理负荷对驾驶表现的影响是具体的。其他工作已经投入到与眼睛相关的测量指标，从瞳孔扩张到眨眼，注视和扫视。</w:t>
      </w:r>
    </w:p>
    <w:p w14:paraId="19C5DD29" w14:textId="6B7E9C49" w:rsidR="00017B4A" w:rsidRDefault="00017B4A" w:rsidP="001F4D56">
      <w:pPr>
        <w:ind w:firstLine="420"/>
      </w:pPr>
      <w:r>
        <w:rPr>
          <w:rFonts w:hint="eastAsia"/>
        </w:rPr>
        <w:t>增加眨眼潜伏期、注视持续时间、瞳孔扩张时间和减少眨眼持续时间和注视变化性可以显着地表明心理负荷增加。尽管对上述任一方面进行了大量的研究，利用相关测量指标整体地而不是单一的某一方面来理解司机的反应模式的工作很少。</w:t>
      </w:r>
    </w:p>
    <w:p w14:paraId="4FBB22A3" w14:textId="4917E9F8" w:rsidR="00017B4A" w:rsidRDefault="00017B4A" w:rsidP="00017B4A">
      <w:r>
        <w:rPr>
          <w:rFonts w:hint="eastAsia"/>
        </w:rPr>
        <w:t>此外，高速公路和交叉路口的驾驶环境复杂程度明显不同，因此需要单独计算这两种交通情况下驾驶员的反应模式。这突出表明需要建立一个可以复制的框架，以系统地生成驾驶员反应模式，以便不仅可以了解在不同交通环境下如何更好地驾驶，而且还可以获得一套适合的可以解释甚至预测驾驶表现的解决方案来提高交通安全。</w:t>
      </w:r>
    </w:p>
    <w:p w14:paraId="7C2C8C5D" w14:textId="79239735" w:rsidR="00017B4A" w:rsidRDefault="00017B4A" w:rsidP="00E506DA">
      <w:pPr>
        <w:ind w:firstLine="420"/>
      </w:pPr>
      <w:r>
        <w:rPr>
          <w:rFonts w:hint="eastAsia"/>
        </w:rPr>
        <w:t>我们开始在驾驶模拟器中重建高速公路和十字路口，以模拟真正的驾驶状况。在有伴随和没有伴随会导致高度心理负荷的辅助任务的两种情况下，招募的参与者驾驶通过交叉路口和高速公路。驾驶表现和眼动测量指标都被收集用于分析司机的反应模式。为了量化驾驶员的工作量，我们收集驾驶员响应时间给</w:t>
      </w:r>
      <w:r>
        <w:t>LED灯，即探测响应任务（DRT）。</w:t>
      </w:r>
    </w:p>
    <w:p w14:paraId="124D3461" w14:textId="0EE321CB" w:rsidR="00734B16" w:rsidRDefault="00017B4A" w:rsidP="00491CC7">
      <w:pPr>
        <w:ind w:firstLine="420"/>
      </w:pPr>
      <w:r>
        <w:rPr>
          <w:rFonts w:hint="eastAsia"/>
        </w:rPr>
        <w:t>传统的数据分析方法是检查某些绩效指标的均值或方差如何随条件而变化，如有或没有心理负荷。在这项研究中，我们探讨了在高速公路和聚类分析指示的十字路口下，驾驶员对心理工作量增加的反应模式</w:t>
      </w:r>
      <w:r w:rsidR="00917453">
        <w:rPr>
          <w:rFonts w:hint="eastAsia"/>
        </w:rPr>
        <w:t>。</w:t>
      </w:r>
      <w:r>
        <w:rPr>
          <w:rFonts w:hint="eastAsia"/>
        </w:rPr>
        <w:t>我们发现了两种高速公路的模式和四种十字路口的模式。然后，我们分析了每个模式中指标之间的相关性，以揭示驾驶表现、眼球运动和心理工作负荷之间的相互作用。我们提出我们的研究结果，将指标作为对驾驶员对心理工作负荷增加的反应模</w:t>
      </w:r>
      <w:r>
        <w:rPr>
          <w:rFonts w:hint="eastAsia"/>
        </w:rPr>
        <w:lastRenderedPageBreak/>
        <w:t>式的全面理解，使指标相互关联。</w:t>
      </w:r>
    </w:p>
    <w:p w14:paraId="3A9411BC" w14:textId="5D791A7C" w:rsidR="000C7883" w:rsidRDefault="000C7883" w:rsidP="00491CC7">
      <w:pPr>
        <w:ind w:firstLine="420"/>
      </w:pPr>
    </w:p>
    <w:p w14:paraId="09F9E1F0" w14:textId="331C0A31" w:rsidR="000C7883" w:rsidRDefault="0013710B" w:rsidP="000C7883">
      <w:pPr>
        <w:rPr>
          <w:b/>
        </w:rPr>
      </w:pPr>
      <w:r w:rsidRPr="00F15C3C">
        <w:rPr>
          <w:rFonts w:hint="eastAsia"/>
          <w:b/>
        </w:rPr>
        <w:t>结论</w:t>
      </w:r>
    </w:p>
    <w:p w14:paraId="73B4CBA4" w14:textId="77777777" w:rsidR="00725DD5" w:rsidRPr="00EE1C79" w:rsidRDefault="00725DD5" w:rsidP="00725DD5"/>
    <w:p w14:paraId="79756949" w14:textId="4CE4A53D" w:rsidR="00725DD5" w:rsidRPr="00EE1C79" w:rsidRDefault="00725DD5" w:rsidP="00EE1C79">
      <w:pPr>
        <w:ind w:firstLine="420"/>
      </w:pPr>
      <w:r w:rsidRPr="00EE1C79">
        <w:rPr>
          <w:rFonts w:hint="eastAsia"/>
        </w:rPr>
        <w:t>路过限速标志和十字路口的过程分别定义为标志中心前</w:t>
      </w:r>
      <w:r w:rsidRPr="00EE1C79">
        <w:t>300m至后150m，十字路口中心前130m至后30m之间。</w:t>
      </w:r>
      <w:r w:rsidRPr="00EE1C79">
        <w:rPr>
          <w:rFonts w:hint="eastAsia"/>
        </w:rPr>
        <w:t>对于每个参与者，我们收集了</w:t>
      </w:r>
      <w:r w:rsidRPr="00EE1C79">
        <w:t>20次遇见限速标志和24次十字路口的数据。因此，我们从限速高速公路（16人）中抽取了320份样本，从十字路口（11人）抽取了264份样本。</w:t>
      </w:r>
      <w:r w:rsidRPr="00EE1C79">
        <w:rPr>
          <w:rFonts w:hint="eastAsia"/>
        </w:rPr>
        <w:t>分心的驾驶和不分心的驾驶的数量是各占一半。为了方便提取反应模式，所有计算的度量都被视为成对的数据</w:t>
      </w:r>
      <w:r w:rsidRPr="00EE1C79">
        <w:t>;每个参与者都有不分心驾驶和分心驾驶。</w:t>
      </w:r>
      <w:r w:rsidRPr="00EE1C79">
        <w:rPr>
          <w:rFonts w:hint="eastAsia"/>
        </w:rPr>
        <w:t>由于唯一不同的是心理负荷条件，两种情境下指标</w:t>
      </w:r>
      <w:r w:rsidRPr="00EE1C79">
        <w:t>d（△d = ds - dn）的差异被用作表征驾驶员反应模式的特征，其中ds表示在分心驾驶期间的指标d，dn表示在非分心驾驶期间的指标d。</w:t>
      </w:r>
      <w:r w:rsidRPr="00EE1C79">
        <w:rPr>
          <w:rFonts w:hint="eastAsia"/>
        </w:rPr>
        <w:t>因此，聚类中包含的观察次数为</w:t>
      </w:r>
      <w:r w:rsidRPr="00EE1C79">
        <w:t>160个限速高速公路和132个十字路口。</w:t>
      </w:r>
    </w:p>
    <w:p w14:paraId="05B91D5B" w14:textId="31CB38DE" w:rsidR="00725DD5" w:rsidRPr="00EE1C79" w:rsidRDefault="00725DD5" w:rsidP="00C53FA5">
      <w:pPr>
        <w:ind w:firstLine="420"/>
      </w:pPr>
      <w:r w:rsidRPr="00EE1C79">
        <w:rPr>
          <w:rFonts w:hint="eastAsia"/>
        </w:rPr>
        <w:t>本研究采用的指标有</w:t>
      </w:r>
      <w:r w:rsidRPr="00EE1C79">
        <w:t>3种：驾驶表现、眼球运动和心理负荷。</w:t>
      </w:r>
      <w:r w:rsidRPr="00EE1C79">
        <w:rPr>
          <w:rFonts w:hint="eastAsia"/>
        </w:rPr>
        <w:t>根据每个事件样本的速度</w:t>
      </w:r>
      <w:r w:rsidR="00F07998">
        <w:rPr>
          <w:rFonts w:hint="eastAsia"/>
        </w:rPr>
        <w:t>（</w:t>
      </w:r>
      <w:r w:rsidR="00F07998">
        <w:t>k</w:t>
      </w:r>
      <w:r w:rsidR="00F07998">
        <w:rPr>
          <w:rFonts w:hint="eastAsia"/>
        </w:rPr>
        <w:t>m</w:t>
      </w:r>
      <w:r w:rsidR="00F07998">
        <w:t>/h</w:t>
      </w:r>
      <w:r w:rsidR="00F07998">
        <w:rPr>
          <w:rFonts w:hint="eastAsia"/>
        </w:rPr>
        <w:t>）</w:t>
      </w:r>
      <w:r w:rsidRPr="00EE1C79">
        <w:t>和转向角</w:t>
      </w:r>
      <w:r w:rsidR="00F07998">
        <w:rPr>
          <w:rFonts w:hint="eastAsia"/>
        </w:rPr>
        <w:t>(°</w:t>
      </w:r>
      <w:r w:rsidR="00F07998">
        <w:t>)</w:t>
      </w:r>
      <w:r w:rsidRPr="00EE1C79">
        <w:t>的时间序列计算得到驾驶表现指标。</w:t>
      </w:r>
      <w:r w:rsidRPr="00EE1C79">
        <w:rPr>
          <w:rFonts w:hint="eastAsia"/>
        </w:rPr>
        <w:t>从注视位置</w:t>
      </w:r>
      <w:r w:rsidRPr="00EE1C79">
        <w:t>x</w:t>
      </w:r>
      <w:r w:rsidR="00F07998">
        <w:rPr>
          <w:rFonts w:hint="eastAsia"/>
        </w:rPr>
        <w:t>(°</w:t>
      </w:r>
      <w:r w:rsidR="00F07998">
        <w:t>)</w:t>
      </w:r>
      <w:r w:rsidRPr="00EE1C79">
        <w:t>，注视位置y</w:t>
      </w:r>
      <w:r w:rsidR="00F07998">
        <w:rPr>
          <w:rFonts w:hint="eastAsia"/>
        </w:rPr>
        <w:t>(°</w:t>
      </w:r>
      <w:r w:rsidR="00F07998">
        <w:t>)</w:t>
      </w:r>
      <w:r w:rsidRPr="00EE1C79">
        <w:t>和头部方位角（rad）的时间序列计算眼动指标。</w:t>
      </w:r>
      <w:r w:rsidRPr="00EE1C79">
        <w:rPr>
          <w:rFonts w:hint="eastAsia"/>
        </w:rPr>
        <w:t>由</w:t>
      </w:r>
      <w:r w:rsidRPr="00EE1C79">
        <w:t>DRT设备给出的响应时间（RT，ms）计算心理负荷。</w:t>
      </w:r>
      <w:r w:rsidRPr="00EE1C79">
        <w:rPr>
          <w:rFonts w:hint="eastAsia"/>
        </w:rPr>
        <w:t>它们的定义如表</w:t>
      </w:r>
      <w:r w:rsidRPr="00EE1C79">
        <w:t>1所示。</w:t>
      </w:r>
      <w:r w:rsidRPr="00EE1C79">
        <w:rPr>
          <w:rFonts w:hint="eastAsia"/>
        </w:rPr>
        <w:t>在驾驶性能指标上，</w:t>
      </w:r>
      <w:r w:rsidRPr="00EE1C79">
        <w:t>Vstd和Vm分别表示纵向控制的波动水平;Sstd和Lstd用来衡量车道保持的性能。</w:t>
      </w:r>
      <w:r w:rsidRPr="00EE1C79">
        <w:rPr>
          <w:rFonts w:hint="eastAsia"/>
        </w:rPr>
        <w:t>他们的巨大数值意味着突然的控制表现和一个驾驶决定的延迟执行。此处的眼动指标表示驾驶员的视线变化性。</w:t>
      </w:r>
    </w:p>
    <w:p w14:paraId="7BF8835D" w14:textId="3403881D" w:rsidR="0051452B" w:rsidRDefault="00725DD5" w:rsidP="006D0503">
      <w:pPr>
        <w:ind w:firstLine="420"/>
      </w:pPr>
      <w:r w:rsidRPr="00EE1C79">
        <w:rPr>
          <w:rFonts w:hint="eastAsia"/>
        </w:rPr>
        <w:t>从表</w:t>
      </w:r>
      <w:r w:rsidRPr="00EE1C79">
        <w:t>1可以看出，驾驶表现和眼球运动对心理负荷增加的方差变化被定义为“模式”。</w:t>
      </w:r>
      <w:r w:rsidRPr="00EE1C79">
        <w:rPr>
          <w:rFonts w:hint="eastAsia"/>
        </w:rPr>
        <w:t>驾驶表现和眼球运动指标，形成驾驶员对心理负荷反应模式的特征集。</w:t>
      </w:r>
      <w:r w:rsidRPr="00EE1C79">
        <w:t>RT被用来直接量化在分心驾驶和不分心驾驶期间的驾驶员心理负荷，作为观察到的驾驶员响应模式的解释变量。</w:t>
      </w:r>
      <w:r w:rsidRPr="00EE1C79">
        <w:rPr>
          <w:rFonts w:hint="eastAsia"/>
        </w:rPr>
        <w:t>驾驶表现被分解为侧向控制（转向）和纵向控制（速度），而眼球运动由垂直和水平两个方向组成。认知分心驾驶与不分心驾驶之间的差异可以被反映出来。例如，一些驾驶员随着注视变化性在垂直方向上增加与水平方向上的减少，会表现得更倾向于突然的转向控制和更平滑的速度控制。</w:t>
      </w:r>
    </w:p>
    <w:p w14:paraId="06897FDA" w14:textId="49202E41" w:rsidR="009F0EE9" w:rsidRDefault="00CB0E79" w:rsidP="00CB0E79">
      <w:r>
        <w:rPr>
          <w:rFonts w:hint="eastAsia"/>
          <w:noProof/>
        </w:rPr>
        <w:drawing>
          <wp:inline distT="0" distB="0" distL="0" distR="0" wp14:anchorId="7FE75E0A" wp14:editId="126C324A">
            <wp:extent cx="5585310" cy="1676400"/>
            <wp:effectExtent l="0" t="0" r="0" b="0"/>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41F54.tmp"/>
                    <pic:cNvPicPr/>
                  </pic:nvPicPr>
                  <pic:blipFill>
                    <a:blip r:embed="rId7">
                      <a:extLst>
                        <a:ext uri="{28A0092B-C50C-407E-A947-70E740481C1C}">
                          <a14:useLocalDpi xmlns:a14="http://schemas.microsoft.com/office/drawing/2010/main" val="0"/>
                        </a:ext>
                      </a:extLst>
                    </a:blip>
                    <a:stretch>
                      <a:fillRect/>
                    </a:stretch>
                  </pic:blipFill>
                  <pic:spPr>
                    <a:xfrm>
                      <a:off x="0" y="0"/>
                      <a:ext cx="5588461" cy="1677346"/>
                    </a:xfrm>
                    <a:prstGeom prst="rect">
                      <a:avLst/>
                    </a:prstGeom>
                  </pic:spPr>
                </pic:pic>
              </a:graphicData>
            </a:graphic>
          </wp:inline>
        </w:drawing>
      </w:r>
    </w:p>
    <w:p w14:paraId="729B5A90" w14:textId="2171BB38" w:rsidR="002C5CBF" w:rsidRDefault="002C5CBF" w:rsidP="00CB0E79"/>
    <w:p w14:paraId="23280480" w14:textId="148649B5" w:rsidR="00514164" w:rsidRPr="00514164" w:rsidRDefault="00514164" w:rsidP="00CB0E79">
      <w:pPr>
        <w:rPr>
          <w:rFonts w:hint="eastAsia"/>
          <w:b/>
        </w:rPr>
      </w:pPr>
      <w:r w:rsidRPr="00514164">
        <w:rPr>
          <w:rFonts w:hint="eastAsia"/>
          <w:b/>
        </w:rPr>
        <w:t>聚类分析来表征驾驶员反应模式</w:t>
      </w:r>
      <w:bookmarkStart w:id="0" w:name="_GoBack"/>
      <w:bookmarkEnd w:id="0"/>
    </w:p>
    <w:sectPr w:rsidR="00514164" w:rsidRPr="00514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19C6A" w14:textId="77777777" w:rsidR="002A3897" w:rsidRDefault="002A3897" w:rsidP="002C5CBF">
      <w:r>
        <w:separator/>
      </w:r>
    </w:p>
  </w:endnote>
  <w:endnote w:type="continuationSeparator" w:id="0">
    <w:p w14:paraId="4B1FA337" w14:textId="77777777" w:rsidR="002A3897" w:rsidRDefault="002A3897" w:rsidP="002C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95B9B" w14:textId="77777777" w:rsidR="002A3897" w:rsidRDefault="002A3897" w:rsidP="002C5CBF">
      <w:r>
        <w:separator/>
      </w:r>
    </w:p>
  </w:footnote>
  <w:footnote w:type="continuationSeparator" w:id="0">
    <w:p w14:paraId="609B63EA" w14:textId="77777777" w:rsidR="002A3897" w:rsidRDefault="002A3897" w:rsidP="002C5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B"/>
    <w:rsid w:val="00017B4A"/>
    <w:rsid w:val="000468DC"/>
    <w:rsid w:val="00051A05"/>
    <w:rsid w:val="000B4FE5"/>
    <w:rsid w:val="000C7883"/>
    <w:rsid w:val="000D73DE"/>
    <w:rsid w:val="000F0481"/>
    <w:rsid w:val="001329D2"/>
    <w:rsid w:val="0013710B"/>
    <w:rsid w:val="001C2D7C"/>
    <w:rsid w:val="001D63FF"/>
    <w:rsid w:val="001F4D56"/>
    <w:rsid w:val="00225569"/>
    <w:rsid w:val="00236DC7"/>
    <w:rsid w:val="0024303C"/>
    <w:rsid w:val="002628CC"/>
    <w:rsid w:val="00280819"/>
    <w:rsid w:val="002A3897"/>
    <w:rsid w:val="002C5CBF"/>
    <w:rsid w:val="003058FF"/>
    <w:rsid w:val="0036742D"/>
    <w:rsid w:val="003C488F"/>
    <w:rsid w:val="003D09BD"/>
    <w:rsid w:val="003D24F7"/>
    <w:rsid w:val="00470147"/>
    <w:rsid w:val="00491CC7"/>
    <w:rsid w:val="00514164"/>
    <w:rsid w:val="0051452B"/>
    <w:rsid w:val="0055400A"/>
    <w:rsid w:val="0056394B"/>
    <w:rsid w:val="005650AD"/>
    <w:rsid w:val="005C38D7"/>
    <w:rsid w:val="006C6091"/>
    <w:rsid w:val="006D0503"/>
    <w:rsid w:val="006F7E85"/>
    <w:rsid w:val="00710602"/>
    <w:rsid w:val="00721081"/>
    <w:rsid w:val="00725DD5"/>
    <w:rsid w:val="007311E5"/>
    <w:rsid w:val="00734B16"/>
    <w:rsid w:val="00770FF5"/>
    <w:rsid w:val="00801442"/>
    <w:rsid w:val="008A2781"/>
    <w:rsid w:val="008F2C57"/>
    <w:rsid w:val="00917453"/>
    <w:rsid w:val="00973E27"/>
    <w:rsid w:val="009B581B"/>
    <w:rsid w:val="009F0EE9"/>
    <w:rsid w:val="009F6BBF"/>
    <w:rsid w:val="00A421B3"/>
    <w:rsid w:val="00A7095E"/>
    <w:rsid w:val="00A74EBB"/>
    <w:rsid w:val="00AF5954"/>
    <w:rsid w:val="00BA3FC1"/>
    <w:rsid w:val="00BE14B8"/>
    <w:rsid w:val="00BE6413"/>
    <w:rsid w:val="00BF085C"/>
    <w:rsid w:val="00BF16E9"/>
    <w:rsid w:val="00C53FA5"/>
    <w:rsid w:val="00CB0E79"/>
    <w:rsid w:val="00CB25F7"/>
    <w:rsid w:val="00CC58E5"/>
    <w:rsid w:val="00D0309F"/>
    <w:rsid w:val="00D324AF"/>
    <w:rsid w:val="00D705B5"/>
    <w:rsid w:val="00DA1617"/>
    <w:rsid w:val="00DB2310"/>
    <w:rsid w:val="00DE57CF"/>
    <w:rsid w:val="00E0751E"/>
    <w:rsid w:val="00E506DA"/>
    <w:rsid w:val="00E5115C"/>
    <w:rsid w:val="00EA7B75"/>
    <w:rsid w:val="00EB6A0A"/>
    <w:rsid w:val="00EC1E8E"/>
    <w:rsid w:val="00EE1C79"/>
    <w:rsid w:val="00EF46D4"/>
    <w:rsid w:val="00F07998"/>
    <w:rsid w:val="00F15C3C"/>
    <w:rsid w:val="00F70A12"/>
    <w:rsid w:val="00FB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9952"/>
  <w15:chartTrackingRefBased/>
  <w15:docId w15:val="{7131448F-6F57-46B0-B73E-C84A2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CBF"/>
    <w:rPr>
      <w:sz w:val="18"/>
      <w:szCs w:val="18"/>
    </w:rPr>
  </w:style>
  <w:style w:type="paragraph" w:styleId="a5">
    <w:name w:val="footer"/>
    <w:basedOn w:val="a"/>
    <w:link w:val="a6"/>
    <w:uiPriority w:val="99"/>
    <w:unhideWhenUsed/>
    <w:rsid w:val="002C5CBF"/>
    <w:pPr>
      <w:tabs>
        <w:tab w:val="center" w:pos="4153"/>
        <w:tab w:val="right" w:pos="8306"/>
      </w:tabs>
      <w:snapToGrid w:val="0"/>
      <w:jc w:val="left"/>
    </w:pPr>
    <w:rPr>
      <w:sz w:val="18"/>
      <w:szCs w:val="18"/>
    </w:rPr>
  </w:style>
  <w:style w:type="character" w:customStyle="1" w:styleId="a6">
    <w:name w:val="页脚 字符"/>
    <w:basedOn w:val="a0"/>
    <w:link w:val="a5"/>
    <w:uiPriority w:val="99"/>
    <w:rsid w:val="002C5C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12442">
      <w:bodyDiv w:val="1"/>
      <w:marLeft w:val="0"/>
      <w:marRight w:val="0"/>
      <w:marTop w:val="0"/>
      <w:marBottom w:val="0"/>
      <w:divBdr>
        <w:top w:val="none" w:sz="0" w:space="0" w:color="auto"/>
        <w:left w:val="none" w:sz="0" w:space="0" w:color="auto"/>
        <w:bottom w:val="none" w:sz="0" w:space="0" w:color="auto"/>
        <w:right w:val="none" w:sz="0" w:space="0" w:color="auto"/>
      </w:divBdr>
    </w:div>
    <w:div w:id="1060785536">
      <w:bodyDiv w:val="1"/>
      <w:marLeft w:val="0"/>
      <w:marRight w:val="0"/>
      <w:marTop w:val="0"/>
      <w:marBottom w:val="0"/>
      <w:divBdr>
        <w:top w:val="none" w:sz="0" w:space="0" w:color="auto"/>
        <w:left w:val="none" w:sz="0" w:space="0" w:color="auto"/>
        <w:bottom w:val="none" w:sz="0" w:space="0" w:color="auto"/>
        <w:right w:val="none" w:sz="0" w:space="0" w:color="auto"/>
      </w:divBdr>
    </w:div>
    <w:div w:id="1286883253">
      <w:bodyDiv w:val="1"/>
      <w:marLeft w:val="0"/>
      <w:marRight w:val="0"/>
      <w:marTop w:val="0"/>
      <w:marBottom w:val="0"/>
      <w:divBdr>
        <w:top w:val="none" w:sz="0" w:space="0" w:color="auto"/>
        <w:left w:val="none" w:sz="0" w:space="0" w:color="auto"/>
        <w:bottom w:val="none" w:sz="0" w:space="0" w:color="auto"/>
        <w:right w:val="none" w:sz="0" w:space="0" w:color="auto"/>
      </w:divBdr>
      <w:divsChild>
        <w:div w:id="1509174550">
          <w:marLeft w:val="0"/>
          <w:marRight w:val="0"/>
          <w:marTop w:val="0"/>
          <w:marBottom w:val="0"/>
          <w:divBdr>
            <w:top w:val="none" w:sz="0" w:space="0" w:color="auto"/>
            <w:left w:val="none" w:sz="0" w:space="0" w:color="auto"/>
            <w:bottom w:val="none" w:sz="0" w:space="0" w:color="auto"/>
            <w:right w:val="none" w:sz="0" w:space="0" w:color="auto"/>
          </w:divBdr>
          <w:divsChild>
            <w:div w:id="944995252">
              <w:marLeft w:val="0"/>
              <w:marRight w:val="0"/>
              <w:marTop w:val="0"/>
              <w:marBottom w:val="0"/>
              <w:divBdr>
                <w:top w:val="none" w:sz="0" w:space="0" w:color="auto"/>
                <w:left w:val="none" w:sz="0" w:space="0" w:color="auto"/>
                <w:bottom w:val="none" w:sz="0" w:space="0" w:color="auto"/>
                <w:right w:val="none" w:sz="0" w:space="0" w:color="auto"/>
              </w:divBdr>
              <w:divsChild>
                <w:div w:id="713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9488">
      <w:bodyDiv w:val="1"/>
      <w:marLeft w:val="0"/>
      <w:marRight w:val="0"/>
      <w:marTop w:val="0"/>
      <w:marBottom w:val="0"/>
      <w:divBdr>
        <w:top w:val="none" w:sz="0" w:space="0" w:color="auto"/>
        <w:left w:val="none" w:sz="0" w:space="0" w:color="auto"/>
        <w:bottom w:val="none" w:sz="0" w:space="0" w:color="auto"/>
        <w:right w:val="none" w:sz="0" w:space="0" w:color="auto"/>
      </w:divBdr>
    </w:div>
    <w:div w:id="1733188079">
      <w:bodyDiv w:val="1"/>
      <w:marLeft w:val="0"/>
      <w:marRight w:val="0"/>
      <w:marTop w:val="0"/>
      <w:marBottom w:val="0"/>
      <w:divBdr>
        <w:top w:val="none" w:sz="0" w:space="0" w:color="auto"/>
        <w:left w:val="none" w:sz="0" w:space="0" w:color="auto"/>
        <w:bottom w:val="none" w:sz="0" w:space="0" w:color="auto"/>
        <w:right w:val="none" w:sz="0" w:space="0" w:color="auto"/>
      </w:divBdr>
    </w:div>
    <w:div w:id="18427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6243D-92B1-4465-BFB5-5957B77E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乌鸦坐飞机</dc:creator>
  <cp:keywords/>
  <dc:description/>
  <cp:lastModifiedBy>乌鸦坐飞机</cp:lastModifiedBy>
  <cp:revision>92</cp:revision>
  <dcterms:created xsi:type="dcterms:W3CDTF">2018-03-24T02:44:00Z</dcterms:created>
  <dcterms:modified xsi:type="dcterms:W3CDTF">2018-04-13T02:32:00Z</dcterms:modified>
</cp:coreProperties>
</file>