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9355"/>
      </w:tblGrid>
      <w:tr w:rsidR="002E1ACF" w:rsidRPr="002E1ACF" w:rsidTr="002E1ACF">
        <w:trPr>
          <w:tblCellSpacing w:w="0" w:type="dxa"/>
        </w:trPr>
        <w:tc>
          <w:tcPr>
            <w:tcW w:w="288" w:type="dxa"/>
            <w:shd w:val="clear" w:color="auto" w:fill="FFFFFF"/>
            <w:hideMark/>
          </w:tcPr>
          <w:p w:rsidR="002E1ACF" w:rsidRPr="002E1ACF" w:rsidRDefault="002E1ACF" w:rsidP="002E1A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tc>
          <w:tcPr>
            <w:tcW w:w="0" w:type="auto"/>
            <w:shd w:val="clear" w:color="auto" w:fill="FFFFFF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:rsidR="002E1ACF" w:rsidRPr="002E1ACF" w:rsidRDefault="002E1ACF" w:rsidP="002E1ACF">
            <w:pPr>
              <w:spacing w:before="240" w:after="48" w:line="240" w:lineRule="auto"/>
              <w:outlineLvl w:val="0"/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0"/>
                <w:szCs w:val="30"/>
              </w:rPr>
            </w:pPr>
            <w:r w:rsidRPr="002E1ACF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0"/>
                <w:szCs w:val="30"/>
              </w:rPr>
              <w:fldChar w:fldCharType="begin"/>
            </w:r>
            <w:r w:rsidRPr="002E1ACF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0"/>
                <w:szCs w:val="30"/>
              </w:rPr>
              <w:instrText xml:space="preserve"> HYPERLINK "http://www.sqlservercentral.com/blogs/arthurs-blog/2019/02/27/a-short-guide-to-sp_executesql/" </w:instrText>
            </w:r>
            <w:r w:rsidRPr="002E1ACF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0"/>
                <w:szCs w:val="30"/>
              </w:rPr>
              <w:fldChar w:fldCharType="separate"/>
            </w:r>
            <w:r w:rsidRPr="002E1ACF">
              <w:rPr>
                <w:rFonts w:ascii="Arial" w:eastAsia="Times New Roman" w:hAnsi="Arial" w:cs="Arial"/>
                <w:b/>
                <w:bCs/>
                <w:color w:val="243488"/>
                <w:kern w:val="36"/>
                <w:sz w:val="30"/>
                <w:szCs w:val="30"/>
              </w:rPr>
              <w:t xml:space="preserve">A short guide to </w:t>
            </w:r>
            <w:proofErr w:type="spellStart"/>
            <w:r w:rsidRPr="002E1ACF">
              <w:rPr>
                <w:rFonts w:ascii="Arial" w:eastAsia="Times New Roman" w:hAnsi="Arial" w:cs="Arial"/>
                <w:b/>
                <w:bCs/>
                <w:color w:val="243488"/>
                <w:kern w:val="36"/>
                <w:sz w:val="30"/>
                <w:szCs w:val="30"/>
              </w:rPr>
              <w:t>sp_executesql</w:t>
            </w:r>
            <w:proofErr w:type="spellEnd"/>
            <w:r w:rsidRPr="002E1ACF">
              <w:rPr>
                <w:rFonts w:ascii="Arial" w:eastAsia="Times New Roman" w:hAnsi="Arial" w:cs="Arial"/>
                <w:b/>
                <w:bCs/>
                <w:color w:val="003366"/>
                <w:kern w:val="36"/>
                <w:sz w:val="30"/>
                <w:szCs w:val="30"/>
              </w:rPr>
              <w:fldChar w:fldCharType="end"/>
            </w:r>
          </w:p>
          <w:bookmarkEnd w:id="0"/>
          <w:p w:rsidR="002E1ACF" w:rsidRPr="002E1ACF" w:rsidRDefault="002E1ACF" w:rsidP="002E1ACF">
            <w:pPr>
              <w:numPr>
                <w:ilvl w:val="0"/>
                <w:numId w:val="5"/>
              </w:numPr>
              <w:spacing w:after="0" w:line="240" w:lineRule="auto"/>
              <w:ind w:left="0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fldChar w:fldCharType="begin"/>
            </w:r>
            <w:r w:rsidRPr="002E1ACF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instrText xml:space="preserve"> HYPERLINK "http://www.sqlservercentral.com/blogs/arthurs-blog/" </w:instrText>
            </w:r>
            <w:r w:rsidRPr="002E1ACF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fldChar w:fldCharType="separate"/>
            </w:r>
            <w:r w:rsidRPr="002E1ACF">
              <w:rPr>
                <w:rFonts w:ascii="Arial" w:eastAsia="Times New Roman" w:hAnsi="Arial" w:cs="Arial"/>
                <w:color w:val="225588"/>
                <w:sz w:val="19"/>
                <w:szCs w:val="19"/>
              </w:rPr>
              <w:t>Arthur Daniels</w:t>
            </w:r>
            <w:r w:rsidRPr="002E1ACF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fldChar w:fldCharType="end"/>
            </w:r>
          </w:p>
          <w:p w:rsidR="002E1ACF" w:rsidRDefault="002E1ACF" w:rsidP="002E1ACF">
            <w:pPr>
              <w:numPr>
                <w:ilvl w:val="0"/>
                <w:numId w:val="5"/>
              </w:numPr>
              <w:pBdr>
                <w:left w:val="single" w:sz="6" w:space="12" w:color="999999"/>
              </w:pBdr>
              <w:spacing w:after="0" w:line="240" w:lineRule="auto"/>
              <w:ind w:left="0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 xml:space="preserve">Posted on 27 February 2019 </w:t>
            </w:r>
          </w:p>
          <w:p w:rsidR="002E1ACF" w:rsidRDefault="002E1ACF" w:rsidP="002E1ACF">
            <w:pPr>
              <w:pBdr>
                <w:left w:val="single" w:sz="6" w:space="12" w:color="999999"/>
              </w:pBdr>
              <w:spacing w:after="0" w:line="240" w:lineRule="auto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</w:p>
          <w:p w:rsidR="002E1ACF" w:rsidRDefault="002E1ACF" w:rsidP="002E1ACF">
            <w:pPr>
              <w:pBdr>
                <w:left w:val="single" w:sz="6" w:space="12" w:color="999999"/>
              </w:pBdr>
              <w:spacing w:after="0" w:line="240" w:lineRule="auto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666666"/>
                <w:sz w:val="19"/>
                <w:szCs w:val="19"/>
              </w:rPr>
              <w:t xml:space="preserve">FROM:  </w:t>
            </w:r>
            <w:hyperlink r:id="rId5" w:history="1">
              <w:r w:rsidRPr="000A3D92">
                <w:rPr>
                  <w:rStyle w:val="Hyperlink"/>
                  <w:rFonts w:ascii="Arial" w:eastAsia="Times New Roman" w:hAnsi="Arial" w:cs="Arial"/>
                  <w:sz w:val="19"/>
                  <w:szCs w:val="19"/>
                </w:rPr>
                <w:t>http://www.sqlservercentral.com/blogs/arthurs-blog/2019/02/27/a-short-guide-to-sp_executesql/</w:t>
              </w:r>
            </w:hyperlink>
          </w:p>
          <w:p w:rsidR="002E1ACF" w:rsidRDefault="002E1ACF" w:rsidP="002E1ACF">
            <w:pPr>
              <w:pBdr>
                <w:left w:val="single" w:sz="6" w:space="12" w:color="999999"/>
              </w:pBdr>
              <w:spacing w:after="0" w:line="240" w:lineRule="auto"/>
              <w:rPr>
                <w:rFonts w:ascii="Arial" w:eastAsia="Times New Roman" w:hAnsi="Arial" w:cs="Arial"/>
                <w:color w:val="666666"/>
                <w:sz w:val="19"/>
                <w:szCs w:val="19"/>
              </w:rPr>
            </w:pP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2A2A2A"/>
                <w:sz w:val="19"/>
                <w:szCs w:val="19"/>
              </w:rPr>
              <w:t>ast</w:t>
            </w:r>
            <w:proofErr w:type="spellEnd"/>
            <w:r>
              <w:rPr>
                <w:rFonts w:ascii="Arial" w:hAnsi="Arial" w:cs="Arial"/>
                <w:color w:val="2A2A2A"/>
                <w:sz w:val="19"/>
                <w:szCs w:val="19"/>
              </w:rPr>
              <w:t xml:space="preserve"> week I talked</w:t>
            </w: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about</w:t>
            </w:r>
            <w:hyperlink r:id="rId6" w:history="1">
              <w:r w:rsidRPr="002E1ACF">
                <w:rPr>
                  <w:rFonts w:ascii="Arial" w:eastAsia="Times New Roman" w:hAnsi="Arial" w:cs="Arial"/>
                  <w:color w:val="225588"/>
                  <w:sz w:val="19"/>
                  <w:szCs w:val="19"/>
                </w:rPr>
                <w:t xml:space="preserve"> single use plans</w:t>
              </w:r>
            </w:hyperlink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. One way to increase execution plan re-use is to parameterize queries by wrapping them in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sp_executesql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.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I’ve started using this stored procedure enough that I wanted to write a short guide on converting a query into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sp_executesql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.</w:t>
            </w:r>
          </w:p>
          <w:p w:rsidR="002E1ACF" w:rsidRPr="002E1ACF" w:rsidRDefault="002E1ACF" w:rsidP="002E1ACF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2E1AC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 xml:space="preserve">Our query before </w:t>
            </w:r>
            <w:proofErr w:type="spellStart"/>
            <w:r w:rsidRPr="002E1AC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sp_executesql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CreationDate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FROM Users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N'Community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AND Location =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N'on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the server farm'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So there’s two values in the WHERE clause that could change between queries, if we want to look for a different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DisplayName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or Location. Let’s parameterize those in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sp_executesql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.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EXEC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sp_executesql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N'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CreationDate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FROM Users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AND Location =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LocationParam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That’s a good start, but now we need to tell the server what our parameters are. Add a comma, and add those after the first string like this: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EXEC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sp_executesql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N'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CreationDate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FROM Users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AND Location = @Location',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NVARCHAR(</w:t>
            </w:r>
            <w:proofErr w:type="gram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40),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LocationParam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NVARCHAR(100)'</w:t>
            </w:r>
          </w:p>
          <w:p w:rsidR="002E1ACF" w:rsidRPr="002E1ACF" w:rsidRDefault="002E1ACF" w:rsidP="002E1ACF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2E1AC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 xml:space="preserve">Completing the example of </w:t>
            </w:r>
            <w:proofErr w:type="spellStart"/>
            <w:r w:rsidRPr="002E1AC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sp_executesql</w:t>
            </w:r>
            <w:proofErr w:type="spellEnd"/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And finally, we need another two commas. This is the part where we add the values for the parameters, in the same order that we declared them. That means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DisplayNameParam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first, then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LocationParam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second.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EXEC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sp_executesql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N'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CreationDate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FROM Users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AND Location = @Location',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NVARCHAR(</w:t>
            </w:r>
            <w:proofErr w:type="gram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40), @Location NVARCHAR(100)',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N'Community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',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N'on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the server farm'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Perfect! Here’s the execution plan and the parameter list from the SELECT operator.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noProof/>
                <w:color w:val="2A2A2A"/>
                <w:sz w:val="19"/>
                <w:szCs w:val="19"/>
              </w:rPr>
              <w:drawing>
                <wp:inline distT="0" distB="0" distL="0" distR="0">
                  <wp:extent cx="7791450" cy="1057275"/>
                  <wp:effectExtent l="0" t="0" r="0" b="9525"/>
                  <wp:docPr id="4" name="Picture 4" descr="https://www.dba-art.com/wp-content/uploads/2019/02/image-1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ww.dba-art.com/wp-content/uploads/2019/02/image-1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noProof/>
                <w:color w:val="2A2A2A"/>
                <w:sz w:val="19"/>
                <w:szCs w:val="19"/>
              </w:rPr>
              <w:lastRenderedPageBreak/>
              <w:drawing>
                <wp:inline distT="0" distB="0" distL="0" distR="0">
                  <wp:extent cx="5124450" cy="2009775"/>
                  <wp:effectExtent l="0" t="0" r="0" b="9525"/>
                  <wp:docPr id="3" name="Picture 3" descr="https://www.dba-art.com/wp-content/uploads/2019/02/image-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dba-art.com/wp-content/uploads/2019/02/image-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ACF" w:rsidRPr="002E1ACF" w:rsidRDefault="002E1ACF" w:rsidP="002E1ACF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</w:pPr>
            <w:r w:rsidRPr="002E1ACF">
              <w:rPr>
                <w:rFonts w:ascii="Arial" w:eastAsia="Times New Roman" w:hAnsi="Arial" w:cs="Arial"/>
                <w:b/>
                <w:bCs/>
                <w:color w:val="333333"/>
                <w:sz w:val="23"/>
                <w:szCs w:val="23"/>
              </w:rPr>
              <w:t>Changing the values to prove the execution plan will be re-used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Let’s look for a user that doesn’t exist. Here’s some parameters that won’t match any rows in StackOverflow2010.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EXEC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sp_executesql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N'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SELECT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CreationDate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FROM Users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WHERE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=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AND Location =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LocationParam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',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DisplayNameParam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gram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NVARCHAR(</w:t>
            </w:r>
            <w:proofErr w:type="gram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40), @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LocationParam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NVARCHAR(100)',</w:t>
            </w:r>
          </w:p>
          <w:p w:rsidR="002E1ACF" w:rsidRPr="002E1ACF" w:rsidRDefault="002E1ACF" w:rsidP="002E1ACF">
            <w:pPr>
              <w:pBdr>
                <w:top w:val="dotted" w:sz="6" w:space="0" w:color="99B1FF"/>
                <w:left w:val="dotted" w:sz="6" w:space="0" w:color="99B1FF"/>
                <w:bottom w:val="dotted" w:sz="6" w:space="0" w:color="99B1FF"/>
                <w:right w:val="dotted" w:sz="6" w:space="0" w:color="99B1FF"/>
              </w:pBdr>
              <w:shd w:val="clear" w:color="auto" w:fill="F0F0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N'Not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a real user', </w:t>
            </w:r>
            <w:proofErr w:type="spellStart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N'No</w:t>
            </w:r>
            <w:proofErr w:type="spellEnd"/>
            <w:r w:rsidRPr="002E1ACF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location'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Here’s the same execution plan and parameter list. The compiled values are Community and on the server farm, showing that the first plan was re-used.</w:t>
            </w:r>
          </w:p>
          <w:p w:rsidR="002E1ACF" w:rsidRPr="002E1ACF" w:rsidRDefault="002E1ACF" w:rsidP="002E1ACF">
            <w:pPr>
              <w:spacing w:after="0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noProof/>
                <w:color w:val="2A2A2A"/>
                <w:sz w:val="19"/>
                <w:szCs w:val="19"/>
              </w:rPr>
              <w:drawing>
                <wp:inline distT="0" distB="0" distL="0" distR="0">
                  <wp:extent cx="7839075" cy="1171575"/>
                  <wp:effectExtent l="0" t="0" r="9525" b="9525"/>
                  <wp:docPr id="2" name="Picture 2" descr="https://www.dba-art.com/wp-content/uploads/2019/02/image-1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dba-art.com/wp-content/uploads/2019/02/image-1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90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ACF">
              <w:rPr>
                <w:rFonts w:ascii="Arial" w:eastAsia="Times New Roman" w:hAnsi="Arial" w:cs="Arial"/>
                <w:noProof/>
                <w:color w:val="2A2A2A"/>
                <w:sz w:val="19"/>
                <w:szCs w:val="19"/>
              </w:rPr>
              <w:drawing>
                <wp:inline distT="0" distB="0" distL="0" distR="0">
                  <wp:extent cx="5172075" cy="1943100"/>
                  <wp:effectExtent l="0" t="0" r="9525" b="0"/>
                  <wp:docPr id="1" name="Picture 1" descr="https://www.dba-art.com/wp-content/uploads/2019/02/image-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dba-art.com/wp-content/uploads/2019/02/image-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2075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That’s it for an introduction to </w:t>
            </w:r>
            <w:proofErr w:type="spell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sp_executesql</w:t>
            </w:r>
            <w:proofErr w:type="spell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. You can add more </w:t>
            </w:r>
            <w:proofErr w:type="gramStart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parameters,</w:t>
            </w:r>
            <w:proofErr w:type="gramEnd"/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I just chose to use two for this demo. </w:t>
            </w:r>
          </w:p>
          <w:p w:rsidR="002E1ACF" w:rsidRPr="002E1ACF" w:rsidRDefault="002E1ACF" w:rsidP="002E1ACF">
            <w:pPr>
              <w:spacing w:before="72" w:after="72"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>Stay tuned!</w:t>
            </w:r>
          </w:p>
          <w:p w:rsidR="002E1ACF" w:rsidRPr="002E1ACF" w:rsidRDefault="002E1ACF" w:rsidP="002E1ACF">
            <w:pPr>
              <w:spacing w:line="240" w:lineRule="auto"/>
              <w:rPr>
                <w:rFonts w:ascii="Arial" w:eastAsia="Times New Roman" w:hAnsi="Arial" w:cs="Arial"/>
                <w:color w:val="2A2A2A"/>
                <w:sz w:val="19"/>
                <w:szCs w:val="19"/>
              </w:rPr>
            </w:pPr>
            <w:hyperlink r:id="rId11" w:tgtFrame="_blank" w:tooltip="Add this to LinkedIn" w:history="1">
              <w:r w:rsidRPr="002E1ACF">
                <w:rPr>
                  <w:rFonts w:ascii="Arial" w:eastAsia="Times New Roman" w:hAnsi="Arial" w:cs="Arial"/>
                  <w:color w:val="FFFFFF"/>
                  <w:sz w:val="19"/>
                  <w:szCs w:val="19"/>
                </w:rPr>
                <w:t>0</w:t>
              </w:r>
            </w:hyperlink>
            <w:r w:rsidRPr="002E1ACF">
              <w:rPr>
                <w:rFonts w:ascii="Arial" w:eastAsia="Times New Roman" w:hAnsi="Arial" w:cs="Arial"/>
                <w:color w:val="2A2A2A"/>
                <w:sz w:val="19"/>
                <w:szCs w:val="19"/>
              </w:rPr>
              <w:t xml:space="preserve"> </w:t>
            </w:r>
          </w:p>
        </w:tc>
      </w:tr>
    </w:tbl>
    <w:p w:rsidR="00470421" w:rsidRDefault="002E1ACF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003"/>
    <w:multiLevelType w:val="multilevel"/>
    <w:tmpl w:val="3F56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A60C5"/>
    <w:multiLevelType w:val="multilevel"/>
    <w:tmpl w:val="6A8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C46AA"/>
    <w:multiLevelType w:val="multilevel"/>
    <w:tmpl w:val="696E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F0232"/>
    <w:multiLevelType w:val="multilevel"/>
    <w:tmpl w:val="E04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4C6FE4"/>
    <w:multiLevelType w:val="multilevel"/>
    <w:tmpl w:val="8874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CF"/>
    <w:rsid w:val="000C5BA9"/>
    <w:rsid w:val="002E1ACF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336A"/>
  <w15:chartTrackingRefBased/>
  <w15:docId w15:val="{DF4228BF-AE3C-488C-BF0C-E51C8504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1ACF"/>
    <w:pPr>
      <w:spacing w:before="240" w:after="48" w:line="240" w:lineRule="auto"/>
      <w:outlineLvl w:val="0"/>
    </w:pPr>
    <w:rPr>
      <w:rFonts w:ascii="Times New Roman" w:eastAsia="Times New Roman" w:hAnsi="Times New Roman" w:cs="Times New Roman"/>
      <w:b/>
      <w:bCs/>
      <w:color w:val="003366"/>
      <w:kern w:val="36"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F"/>
    <w:rPr>
      <w:rFonts w:ascii="Times New Roman" w:eastAsia="Times New Roman" w:hAnsi="Times New Roman" w:cs="Times New Roman"/>
      <w:b/>
      <w:bCs/>
      <w:color w:val="003366"/>
      <w:kern w:val="36"/>
      <w:sz w:val="38"/>
      <w:szCs w:val="38"/>
    </w:rPr>
  </w:style>
  <w:style w:type="character" w:styleId="Hyperlink">
    <w:name w:val="Hyperlink"/>
    <w:basedOn w:val="DefaultParagraphFont"/>
    <w:uiPriority w:val="99"/>
    <w:unhideWhenUsed/>
    <w:rsid w:val="002E1ACF"/>
    <w:rPr>
      <w:strike w:val="0"/>
      <w:dstrike w:val="0"/>
      <w:color w:val="225588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ACF"/>
    <w:pPr>
      <w:pBdr>
        <w:top w:val="dotted" w:sz="6" w:space="0" w:color="99B1FF"/>
        <w:left w:val="dotted" w:sz="6" w:space="0" w:color="99B1FF"/>
        <w:bottom w:val="dotted" w:sz="6" w:space="0" w:color="99B1FF"/>
        <w:right w:val="dotted" w:sz="6" w:space="0" w:color="99B1FF"/>
      </w:pBdr>
      <w:shd w:val="clear" w:color="auto" w:fill="F0F0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6"/>
      <w:szCs w:val="2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ACF"/>
    <w:rPr>
      <w:rFonts w:ascii="Courier New" w:eastAsia="Times New Roman" w:hAnsi="Courier New" w:cs="Courier New"/>
      <w:color w:val="000000"/>
      <w:sz w:val="26"/>
      <w:szCs w:val="26"/>
      <w:shd w:val="clear" w:color="auto" w:fill="F0F0FF"/>
    </w:rPr>
  </w:style>
  <w:style w:type="character" w:customStyle="1" w:styleId="sr-linkedin">
    <w:name w:val="sr-linkedin"/>
    <w:basedOn w:val="DefaultParagraphFont"/>
    <w:rsid w:val="002E1ACF"/>
  </w:style>
  <w:style w:type="character" w:customStyle="1" w:styleId="ctext">
    <w:name w:val="ctext"/>
    <w:basedOn w:val="DefaultParagraphFont"/>
    <w:rsid w:val="002E1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9642">
                  <w:marLeft w:val="0"/>
                  <w:marRight w:val="45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836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ba-art.com/single-use-cached/" TargetMode="External"/><Relationship Id="rId11" Type="http://schemas.openxmlformats.org/officeDocument/2006/relationships/hyperlink" Target="https://www.linkedin.com/sharing/share-offsite/?url=https://www.dba-art.com/sp-executesql/" TargetMode="External"/><Relationship Id="rId5" Type="http://schemas.openxmlformats.org/officeDocument/2006/relationships/hyperlink" Target="http://www.sqlservercentral.com/blogs/arthurs-blog/2019/02/27/a-short-guide-to-sp_executesq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2019-03-04T11:29:00Z</dcterms:created>
  <dcterms:modified xsi:type="dcterms:W3CDTF">2019-03-04T11:31:00Z</dcterms:modified>
</cp:coreProperties>
</file>