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34" w:rsidRDefault="00820934"/>
    <w:p w:rsidR="00B36813" w:rsidRDefault="00B36813" w:rsidP="00B368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B368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Auditing: </w:t>
      </w:r>
      <w:bookmarkStart w:id="0" w:name="_GoBack"/>
      <w:r w:rsidRPr="00B368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SQL Server’s Built-in Traces</w:t>
      </w:r>
      <w:bookmarkEnd w:id="0"/>
    </w:p>
    <w:p w:rsidR="00B36813" w:rsidRDefault="00B36813" w:rsidP="00B368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From:  </w:t>
      </w:r>
      <w:hyperlink r:id="rId5" w:history="1">
        <w:r w:rsidRPr="00950BE7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"/>
          </w:rPr>
          <w:t>https://msdn.microsoft.com/en-us/library/cc293615.aspx</w:t>
        </w:r>
      </w:hyperlink>
    </w:p>
    <w:p w:rsidR="00B36813" w:rsidRPr="00B36813" w:rsidRDefault="00B36813" w:rsidP="00B368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Aside from the user-defined traces we have discussed throughout this chapter, SQL Server uses tracing to help you audit user activity using a few built-in configurations. In this section, we will briefly discuss the default trace, </w:t>
      </w:r>
      <w:proofErr w:type="spellStart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blackbox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traces, and Common Criteria traces—all part of the same SQL Trace infrastructure, but configured and used slightly differently than the traces discussed in the rest of the chapter.</w:t>
      </w:r>
    </w:p>
    <w:p w:rsidR="00B36813" w:rsidRPr="00B36813" w:rsidRDefault="00B36813" w:rsidP="00B36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B36813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Default Trace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Upon first being installed, SQL Server 2005 starts up a background trace known as the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default trace</w: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If left in place, this trace will have a trace ID of 1, and you can see it in the 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sys.traces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view using the following query:</w:t>
      </w:r>
    </w:p>
    <w:bookmarkStart w:id="1" w:name="CodeSnippetCopyLink"/>
    <w:p w:rsidR="00B36813" w:rsidRPr="00B36813" w:rsidRDefault="00B36813" w:rsidP="00B3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"javascript:if%20(window.epx.codeSnippet)window.epx.codeSnippet.copyCode('CodeSnippetContainerCode_8c065392-cbed-4da0-a9c5-3c3c5d08ba14');" \o "Copy to clipboard." </w:instrTex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B3681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/>
        </w:rPr>
        <w:t>Copy</w: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SELECT *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FROM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sys.traces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WHERE id = 1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trace is fairly lightweight, and includes events for monitoring server starts and </w:t>
      </w:r>
      <w:proofErr w:type="gramStart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stops,</w:t>
      </w:r>
      <w:proofErr w:type="gram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object creation and deletion, log and data file auto growth, and other database changes. The information collected by the trace can be retrieved using 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fn_trace_gettable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, just like any other trace. In addition, data from the default trace is used for various reports that ship with SQL Server Management Studio. The trace is also useful as a general log in case something unexpected happens (“hey, who dropped my table!?”), and for all of these reasons we recommend leaving it in place.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Should you feel the need to disable the default trace, you can do so by changing the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default trace enabled</w: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server option, using the following Transact-SQL:</w:t>
      </w:r>
    </w:p>
    <w:p w:rsidR="00B36813" w:rsidRPr="00B36813" w:rsidRDefault="00B36813" w:rsidP="00B3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6" w:tooltip="Copy to clipboard." w:history="1">
        <w:r w:rsidRPr="00B368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Copy</w:t>
        </w:r>
      </w:hyperlink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EXEC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sp_configure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'default trace enabled', 0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RECONFIGURE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Note that this will immediately stop the trace; there is no need to restart the SQL Server service.</w:t>
      </w:r>
    </w:p>
    <w:p w:rsidR="00B36813" w:rsidRPr="00B36813" w:rsidRDefault="00B36813" w:rsidP="00B36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proofErr w:type="spellStart"/>
      <w:r w:rsidRPr="00B36813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lastRenderedPageBreak/>
        <w:t>Blackbox</w:t>
      </w:r>
      <w:proofErr w:type="spellEnd"/>
      <w:r w:rsidRPr="00B36813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Traces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Another background trace that SQL Server offers right out of the box is the so-called 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blackbox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trace. This trace is designed to behave similarly to an airplane black box, to help you diagnose intermittent server crashes. It is quite a bit heavier than the default trace, and includes the 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SP</w:t>
      </w:r>
      <w:proofErr w:type="gram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:Starting</w:t>
      </w:r>
      <w:proofErr w:type="spellEnd"/>
      <w:proofErr w:type="gram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SQL:BatchStarting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Exception</w: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Attention</w: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events, with several columns from each event included in the trace.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trace is configured by setting the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@options</w: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parameter of 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sp_trace_create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a value of 8. The following Transact-SQL can be used to start a </w:t>
      </w:r>
      <w:proofErr w:type="spellStart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blackbox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trace:</w:t>
      </w:r>
    </w:p>
    <w:p w:rsidR="00B36813" w:rsidRPr="00B36813" w:rsidRDefault="00B36813" w:rsidP="00B3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7" w:tooltip="Copy to clipboard." w:history="1">
        <w:r w:rsidRPr="00B368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Copy</w:t>
        </w:r>
      </w:hyperlink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DECLARE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TraceId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INT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EXEC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sp_trace_create</w:t>
      </w:r>
      <w:proofErr w:type="spellEnd"/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TraceId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OUTPUT,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@options = 8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EXEC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sp_trace_setstatus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TraceId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1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trace is automatically configured to use two rollover files, and flip back and forth between them when reaching its default maximum file size of 5 MB. However, some customers have reported that 5 MB was not enough back data to help them debug crash problems. To expand the size, you’ll have to specify the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@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maxfilesize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parameter, in addition to passing in a value for the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@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tracefile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parameter (even a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NULL</w: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The following Transact-SQL code creates a </w:t>
      </w:r>
      <w:proofErr w:type="spellStart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blackbox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trace with a 25 MB maximum size:</w:t>
      </w:r>
    </w:p>
    <w:p w:rsidR="00B36813" w:rsidRPr="00B36813" w:rsidRDefault="00B36813" w:rsidP="00B3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8" w:tooltip="Copy to clipboard." w:history="1">
        <w:r w:rsidRPr="00B368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Copy</w:t>
        </w:r>
      </w:hyperlink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DECLARE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TraceId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DECLARE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maxfilesize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bigint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SET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maxfilesize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25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EXEC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sp_trace_create</w:t>
      </w:r>
      <w:proofErr w:type="spellEnd"/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TraceId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OUTPUT,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@options = 8,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tracefile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NULL,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maxfilesize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maxfilesize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EXEC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sp_trace_setstatus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TraceId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1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By default, the path to the </w:t>
      </w:r>
      <w:proofErr w:type="spellStart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blackbox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trace file is in the default SQL Server data file folder. However, just like the file size, the path can also be overridden if necessary, by using the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@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tracefile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parameter.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order to fully take advantage of the </w:t>
      </w:r>
      <w:proofErr w:type="spellStart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blackbox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trace if you are facing intermittent problems, you want to make sure that it is always running when your server is running—including after either a planned or unplanned restart. To accomplish this, you can set the </w:t>
      </w:r>
      <w:proofErr w:type="spellStart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blackbox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trace to start automatically when SQL Server starts. First, wrap the trace definition in a stored procedure in the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master</w: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database:</w:t>
      </w:r>
    </w:p>
    <w:p w:rsidR="00B36813" w:rsidRPr="00B36813" w:rsidRDefault="00B36813" w:rsidP="00B3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9" w:tooltip="Copy to clipboard." w:history="1">
        <w:r w:rsidRPr="00B368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Copy</w:t>
        </w:r>
      </w:hyperlink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USE master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GO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 xml:space="preserve">CREATE PROCEDURE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StartBlackBoxTrace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AS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BEGIN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DECLARE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TraceId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DECLARE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maxfilesize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bigint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SET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maxfilesize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25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EXEC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sp_trace_create</w:t>
      </w:r>
      <w:proofErr w:type="spellEnd"/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TraceId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OUTPUT,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@options = 8,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tracefile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NULL,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maxfilesize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maxfilesize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EXEC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sp_trace_setstatus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@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TraceId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1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END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GO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Next, set the procedure to start automatically when the SQL Server service is started:</w:t>
      </w:r>
    </w:p>
    <w:p w:rsidR="00B36813" w:rsidRPr="00B36813" w:rsidRDefault="00B36813" w:rsidP="00B3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0" w:tooltip="Copy to clipboard." w:history="1">
        <w:r w:rsidRPr="00B368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Copy</w:t>
        </w:r>
      </w:hyperlink>
      <w:bookmarkEnd w:id="1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EXEC 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sp_procoption</w:t>
      </w:r>
      <w:proofErr w:type="spellEnd"/>
    </w:p>
    <w:p w:rsidR="00B36813" w:rsidRPr="00B36813" w:rsidRDefault="00B36813" w:rsidP="00B3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</w:t>
      </w:r>
      <w:proofErr w:type="spellStart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StartBlackBoxTrace</w:t>
      </w:r>
      <w:proofErr w:type="spellEnd"/>
      <w:r w:rsidRPr="00B3681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', 'STARTUP', 'ON'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In the event of a crash, you can analyze the collected data to determine what stored procedures or queries were running at the point of failure and—hopefully—figure out what went wrong.</w:t>
      </w:r>
    </w:p>
    <w:p w:rsidR="00B36813" w:rsidRPr="00B36813" w:rsidRDefault="00B36813" w:rsidP="00B36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B36813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C2 and Common Criteria Auditing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SQL Server 2000 added a feature called C2 Audit, which allowed DBAs to meet U.S. government standards for auditing both unauthorized use of and damage to resources and data. A newer, international standard, called Common Criteria, is available in SQL Server 2005 (along with C2, which is still available).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Both of these audit modes utilize SQL Trace to capture a variety of data, including any logins, logouts, access to tables, and many other data points. Both also make use of the value of 4 passed to the </w:t>
      </w:r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@options</w:t>
      </w: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parameter of 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sp_trace_create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which automatically shuts down the SQL Server service should any error occur writing to the trace file. This is intended to ensure that even in the case of disk </w:t>
      </w:r>
      <w:proofErr w:type="gramStart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error,</w:t>
      </w:r>
      <w:proofErr w:type="gram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none of the audit data will possibly be lost (with the server shut down, no audit data will be generated to lose).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Both C2 and Common Criteria audit modes are enabled or disabled using </w:t>
      </w:r>
      <w:proofErr w:type="spellStart"/>
      <w:r w:rsidRPr="00B36813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sp_configure</w:t>
      </w:r>
      <w:proofErr w:type="spellEnd"/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. To enable C2 auditing, configure the C2 Audit Mode option to a value of 1. For Common Criteria, configure the Common Criteria Compliance Enabled option to a value of 1. In both cases, a service restart is required for the auditing to actually start.</w:t>
      </w:r>
    </w:p>
    <w:p w:rsidR="00B36813" w:rsidRPr="00B36813" w:rsidRDefault="00B36813" w:rsidP="00B3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1" w:history="1">
        <w:r w:rsidRPr="00B368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&lt; Back</w:t>
        </w:r>
      </w:hyperlink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     </w:t>
      </w:r>
      <w:hyperlink r:id="rId12" w:history="1">
        <w:r w:rsidRPr="00B368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Next &gt;</w:t>
        </w:r>
      </w:hyperlink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B36813" w:rsidRPr="00B36813" w:rsidRDefault="00B36813" w:rsidP="00B3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36813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© Microsoft. All Rights Reserved.</w:t>
      </w:r>
    </w:p>
    <w:p w:rsidR="00B36813" w:rsidRDefault="00B36813"/>
    <w:sectPr w:rsidR="00B3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13"/>
    <w:rsid w:val="00820934"/>
    <w:rsid w:val="00B3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601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9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7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3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99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6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03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04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30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3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1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0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9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9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6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41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4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5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5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3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5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20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5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8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if%20(window.epx.codeSnippet)window.epx.codeSnippet.copyCode('CodeSnippetContainerCode_73679940-7b55-48f2-b868-541efda7e20a'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if%20(window.epx.codeSnippet)window.epx.codeSnippet.copyCode('CodeSnippetContainerCode_730f9f88-a47a-42ea-b3a5-aaea151e4554');" TargetMode="External"/><Relationship Id="rId12" Type="http://schemas.openxmlformats.org/officeDocument/2006/relationships/hyperlink" Target="https://msdn.microsoft.com/en-us/library/cc293617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if%20(window.epx.codeSnippet)window.epx.codeSnippet.copyCode('CodeSnippetContainerCode_0f80b1b7-8228-46fb-a23c-85611372c399');" TargetMode="External"/><Relationship Id="rId11" Type="http://schemas.openxmlformats.org/officeDocument/2006/relationships/hyperlink" Target="https://msdn.microsoft.com/en-us/library/cc293614.aspx" TargetMode="External"/><Relationship Id="rId5" Type="http://schemas.openxmlformats.org/officeDocument/2006/relationships/hyperlink" Target="https://msdn.microsoft.com/en-us/library/cc293615.aspx" TargetMode="External"/><Relationship Id="rId10" Type="http://schemas.openxmlformats.org/officeDocument/2006/relationships/hyperlink" Target="javascript:if%20(window.epx.codeSnippet)window.epx.codeSnippet.copyCode('CodeSnippetContainerCode_b501421f-703c-40cc-bd9b-8622fe0455bf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if%20(window.epx.codeSnippet)window.epx.codeSnippet.copyCode('CodeSnippetContainerCode_bc51c616-a0a0-4e03-927b-5671701c153c'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2015-02-11T20:23:00Z</dcterms:created>
  <dcterms:modified xsi:type="dcterms:W3CDTF">2015-02-11T20:25:00Z</dcterms:modified>
</cp:coreProperties>
</file>