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56E90">
      <w:pPr>
        <w:pStyle w:val="2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0" w:afterAutospacing="0" w:line="360" w:lineRule="auto"/>
        <w:ind w:leftChars="0"/>
        <w:jc w:val="center"/>
        <w:textAlignment w:val="auto"/>
        <w:rPr>
          <w:rStyle w:val="7"/>
          <w:rFonts w:hint="eastAsia" w:ascii="宋体" w:hAnsi="宋体" w:eastAsia="宋体" w:cs="宋体"/>
          <w:b w:val="0"/>
          <w:bCs w:val="0"/>
          <w:color w:val="0F1115"/>
          <w:sz w:val="24"/>
          <w:szCs w:val="24"/>
        </w:rPr>
      </w:pPr>
      <w:r>
        <w:rPr>
          <w:rStyle w:val="7"/>
          <w:rFonts w:hint="eastAsia" w:ascii="宋体" w:hAnsi="宋体" w:eastAsia="宋体" w:cs="宋体"/>
          <w:b w:val="0"/>
          <w:bCs w:val="0"/>
          <w:color w:val="0F1115"/>
          <w:sz w:val="24"/>
          <w:szCs w:val="24"/>
        </w:rPr>
        <w:t>动态规划与表格型</w:t>
      </w:r>
      <w:r>
        <w:rPr>
          <w:rStyle w:val="7"/>
          <w:rFonts w:hint="eastAsia" w:ascii="宋体" w:hAnsi="宋体" w:eastAsia="宋体" w:cs="宋体"/>
          <w:b w:val="0"/>
          <w:bCs w:val="0"/>
          <w:color w:val="0F1115"/>
          <w:sz w:val="24"/>
          <w:szCs w:val="24"/>
        </w:rPr>
        <w:t>MDP</w:t>
      </w:r>
      <w:r>
        <w:rPr>
          <w:rStyle w:val="7"/>
          <w:rFonts w:hint="eastAsia" w:ascii="宋体" w:hAnsi="宋体" w:eastAsia="宋体" w:cs="宋体"/>
          <w:b w:val="0"/>
          <w:bCs w:val="0"/>
          <w:color w:val="0F1115"/>
          <w:sz w:val="24"/>
          <w:szCs w:val="24"/>
        </w:rPr>
        <w:t>规划</w:t>
      </w:r>
    </w:p>
    <w:p w14:paraId="35C7B728">
      <w:pPr>
        <w:rPr>
          <w:rStyle w:val="7"/>
          <w:rFonts w:hint="eastAsia" w:ascii="宋体" w:hAnsi="宋体" w:eastAsia="宋体" w:cs="宋体"/>
          <w:b w:val="0"/>
          <w:bCs w:val="0"/>
          <w:color w:val="0F1115"/>
          <w:sz w:val="24"/>
          <w:szCs w:val="24"/>
          <w:lang w:eastAsia="zh-CN"/>
        </w:rPr>
      </w:pPr>
      <w:bookmarkStart w:id="0" w:name="_GoBack"/>
      <w:bookmarkEnd w:id="0"/>
    </w:p>
    <w:p w14:paraId="277E65A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color w:val="0F111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F1115"/>
          <w:kern w:val="0"/>
          <w:sz w:val="24"/>
          <w:szCs w:val="24"/>
          <w:lang w:val="en-US" w:eastAsia="zh-CN" w:bidi="ar"/>
        </w:rPr>
        <w:t>（一）</w:t>
      </w:r>
      <w:r>
        <w:rPr>
          <w:rFonts w:hint="eastAsia" w:ascii="宋体" w:hAnsi="宋体" w:eastAsia="宋体" w:cs="宋体"/>
          <w:b w:val="0"/>
          <w:bCs w:val="0"/>
          <w:color w:val="0F1115"/>
          <w:sz w:val="24"/>
          <w:szCs w:val="24"/>
        </w:rPr>
        <w:t xml:space="preserve">该问题的 </w:t>
      </w:r>
      <w:r>
        <w:rPr>
          <w:rStyle w:val="7"/>
          <w:rFonts w:hint="eastAsia" w:ascii="宋体" w:hAnsi="宋体" w:eastAsia="宋体" w:cs="宋体"/>
          <w:b w:val="0"/>
          <w:bCs w:val="0"/>
          <w:kern w:val="2"/>
          <w:sz w:val="24"/>
          <w:szCs w:val="24"/>
        </w:rPr>
        <w:t>MDP</w:t>
      </w:r>
      <w:r>
        <w:rPr>
          <w:rFonts w:hint="eastAsia" w:ascii="宋体" w:hAnsi="宋体" w:eastAsia="宋体" w:cs="宋体"/>
          <w:b w:val="0"/>
          <w:bCs w:val="0"/>
          <w:color w:val="0F1115"/>
          <w:sz w:val="24"/>
          <w:szCs w:val="24"/>
        </w:rPr>
        <w:t xml:space="preserve"> 五元组描述</w:t>
      </w:r>
    </w:p>
    <w:p w14:paraId="5440C6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首先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将这个 3×3 的网格形式化为马尔可夫决策过程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MDP 五元组描述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为：</w:t>
      </w:r>
    </w:p>
    <w:p w14:paraId="3A316E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状态空间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S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(State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Space)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:</w:t>
      </w:r>
    </w:p>
    <w:p w14:paraId="19513CB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网格中的坐标集合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</w:p>
    <w:p w14:paraId="12F951C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 w:firstLine="2160" w:firstLineChars="9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S={(x,y)∣x∈{0,1,2},y∈{0,1,2}}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。</w:t>
      </w:r>
    </w:p>
    <w:p w14:paraId="043B05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其中 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z w:val="24"/>
                <w:szCs w:val="24"/>
              </w:rPr>
              <m:t>start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宋体"/>
            <w:sz w:val="24"/>
            <w:szCs w:val="24"/>
          </w:rPr>
          <m:t>=(0,0)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，</m:t>
        </m:r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z w:val="24"/>
                <w:szCs w:val="24"/>
              </w:rPr>
              <m:t>goal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eastAsia="宋体" w:cs="宋体"/>
            <w:sz w:val="24"/>
            <w:szCs w:val="24"/>
          </w:rPr>
          <m:t>=(2,2)</m:t>
        </m:r>
      </m:oMath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总共有 9 个状态。</w:t>
      </w:r>
    </w:p>
    <w:p w14:paraId="2AC5A0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动作空间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A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(Action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Space)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:</w:t>
      </w:r>
    </w:p>
    <w:p w14:paraId="323C24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Agent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可以采取的方向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A={Up,Down,Left,Rig</m:t>
        </m:r>
        <m:r>
          <m:rPr/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h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t}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。</m:t>
        </m:r>
      </m:oMath>
    </w:p>
    <w:p w14:paraId="08D738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转移概率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P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(Transition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Probability)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:</w:t>
      </w:r>
    </w:p>
    <w:p w14:paraId="4EF2E23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由于题目指出转移是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确定性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的，对于状态和动作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中：</w:t>
      </w:r>
    </w:p>
    <w:p w14:paraId="17422E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若执行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后未撞墙，则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P(s'|s,a)=1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，其中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s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是目标相邻格点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</w:p>
    <w:p w14:paraId="39CD98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若执行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会撞墙，则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P(s|s,a)=1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（停留在原状态）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</w:p>
    <w:p w14:paraId="6DF035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其他所有情况转移概率为0。</w:t>
      </w:r>
    </w:p>
    <w:p w14:paraId="09644E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奖励函数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R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(Reward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Function)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:</w:t>
      </w:r>
    </w:p>
    <w:p w14:paraId="15F244D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根据题目描述，奖励取决于当前状态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eastAsia="zh-CN"/>
          </w:rPr>
          <m:t>s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和动作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eastAsia="zh-CN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 xml:space="preserve">导致的结果： </w:t>
      </w:r>
    </w:p>
    <w:p w14:paraId="1D69E6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eastAsia="zh-CN"/>
        </w:rPr>
        <w:t>（</w:t>
      </w: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1</w:t>
      </w: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eastAsia="zh-CN"/>
        </w:rPr>
        <w:t>）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eastAsia="zh-CN"/>
          </w:rPr>
          <m:t>R(s,a)=+1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，当执行动作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eastAsia="zh-CN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 xml:space="preserve">后进入目标状态 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eastAsia="zh-CN"/>
          </w:rPr>
          <m:t>(2,2)</m:t>
        </m:r>
      </m:oMath>
      <w:r>
        <m:rPr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；</w:t>
      </w:r>
    </w:p>
    <w:p w14:paraId="56967A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eastAsia="zh-CN"/>
        </w:rPr>
        <w:t>（</w:t>
      </w: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2</w:t>
      </w: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eastAsia="zh-CN"/>
        </w:rPr>
        <w:t>）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eastAsia="zh-CN"/>
          </w:rPr>
          <m:t>R(s,a)=−0.1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，当执行动作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eastAsia="zh-CN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会撞到边界并留在原地时。</w:t>
      </w:r>
    </w:p>
    <w:p w14:paraId="461A89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eastAsia="zh-CN"/>
        </w:rPr>
        <w:t>（</w:t>
      </w: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3</w:t>
      </w:r>
      <w:r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eastAsia="zh-CN"/>
        </w:rPr>
        <w:t>）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eastAsia="zh-CN"/>
          </w:rPr>
          <m:t>R(s,a)=0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，其他所有移动情况。</w:t>
      </w:r>
    </w:p>
    <w:p w14:paraId="351BCF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折扣因子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γ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(Discount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Factor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:</w:t>
      </w:r>
    </w:p>
    <w:p w14:paraId="7A79FC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γ∈[0,1]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它决定了未来奖励的当前价值。在寻找最短路径问题中，通常设置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γ&lt;1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（如 0.9 或 0.99）以鼓励智能体尽快到达目标。</w:t>
      </w:r>
    </w:p>
    <w:p w14:paraId="0BCFCC9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F1115"/>
          <w:kern w:val="0"/>
          <w:sz w:val="24"/>
          <w:szCs w:val="24"/>
          <w:lang w:val="en-US" w:eastAsia="zh-CN" w:bidi="ar"/>
        </w:rPr>
        <w:t>（二）</w:t>
      </w:r>
      <w:r>
        <w:rPr>
          <w:rFonts w:hint="eastAsia" w:ascii="宋体" w:hAnsi="宋体" w:eastAsia="宋体" w:cs="宋体"/>
          <w:b w:val="0"/>
          <w:bCs w:val="0"/>
          <w:color w:val="0F1115"/>
          <w:sz w:val="24"/>
          <w:szCs w:val="24"/>
        </w:rPr>
        <w:t>该问题MDP对应的贝尔曼期望方程</w:t>
      </w:r>
    </w:p>
    <w:p w14:paraId="4EB305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针对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该问题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，贝尔曼期望方程的状态值函数形式如下：</w:t>
      </w:r>
    </w:p>
    <w:p w14:paraId="210D60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1. 通用贝尔曼期望方程</w:t>
      </w:r>
    </w:p>
    <w:p w14:paraId="195F0D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对于一个策略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  <w:kern w:val="0"/>
            <w:sz w:val="24"/>
            <w:szCs w:val="24"/>
            <w:lang w:val="en-US" w:eastAsia="zh-CN" w:bidi="ar"/>
          </w:rPr>
          <m:t>π</m:t>
        </m:r>
      </m:oMath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，状态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  <w:kern w:val="0"/>
            <w:sz w:val="24"/>
            <w:szCs w:val="24"/>
            <w:lang w:val="en-US" w:eastAsia="zh-CN" w:bidi="ar"/>
          </w:rPr>
          <m:t>s</m:t>
        </m:r>
      </m:oMath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的值函数 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m:t>V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m:t>π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olor w:val="auto"/>
            <w:kern w:val="0"/>
            <w:sz w:val="24"/>
            <w:szCs w:val="24"/>
            <w:lang w:val="en-US" w:eastAsia="zh-CN" w:bidi="ar"/>
          </w:rPr>
          <m:t>(s)</m:t>
        </m:r>
      </m:oMath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表示从该状态开始，按照策略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  <w:kern w:val="0"/>
            <w:sz w:val="24"/>
            <w:szCs w:val="24"/>
            <w:lang w:val="en-US" w:eastAsia="zh-CN" w:bidi="ar"/>
          </w:rPr>
          <m:t>π</m:t>
        </m:r>
      </m:oMath>
    </w:p>
    <w:p w14:paraId="5764C3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决策所能获得的期望累积折扣奖励：</w:t>
      </w:r>
    </w:p>
    <w:p w14:paraId="275DEC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(s)=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宋体" w:cs="宋体"/>
                  <w:b w:val="0"/>
                  <w:bCs w:val="0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a∈A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  <m:sup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p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</m:nary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(a|s)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宋体" w:cs="宋体"/>
                  <w:b w:val="0"/>
                  <w:bCs w:val="0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s',r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  <m:sup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p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p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</m:nary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(s',r|s,a)[r+γ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(s')]</m:t>
          </m:r>
        </m:oMath>
      </m:oMathPara>
    </w:p>
    <w:p w14:paraId="52C805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2. 针对本题的简化形式</w:t>
      </w:r>
    </w:p>
    <w:p w14:paraId="75BEB1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由于该问题的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状态转移是确定性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即给定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宋体" w:cs="宋体"/>
            <w:color w:val="auto"/>
            <w:kern w:val="0"/>
            <w:sz w:val="24"/>
            <w:szCs w:val="24"/>
            <w:lang w:val="en-US" w:eastAsia="zh-CN" w:bidi="ar"/>
          </w:rPr>
          <m:t>s</m:t>
        </m:r>
      </m:oMath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和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下一个状态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s'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和奖励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r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是唯一的），可以消去概率求和符号 </w:t>
      </w:r>
      <m:oMath>
        <m:nary>
          <m:naryPr>
            <m:chr m:val="∑"/>
            <m:limLoc m:val="undOvr"/>
            <m:supHide m:val="1"/>
            <m:ctrlPr>
              <w:rPr>
                <w:rFonts w:hint="eastAsia" w:ascii="Cambria Math" w:hAnsi="Cambria Math" w:eastAsia="宋体" w:cs="宋体"/>
                <w:b w:val="0"/>
                <w:bCs w:val="0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default" w:ascii="Cambria Math" w:hAnsi="Cambria Math" w:eastAsia="宋体" w:cs="宋体"/>
                <w:sz w:val="24"/>
                <w:szCs w:val="24"/>
              </w:rPr>
              <m:t>s',r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sub>
          <m:sup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sup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="宋体" w:cs="宋体"/>
            <w:sz w:val="24"/>
            <w:szCs w:val="24"/>
          </w:rPr>
          <m:t>(...)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。方程简化为：</w:t>
      </w:r>
    </w:p>
    <w:p w14:paraId="6E2955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(s)=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宋体" w:cs="宋体"/>
                  <w:b w:val="0"/>
                  <w:bCs w:val="0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a∈A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  <m:sup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p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</m:nary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(a|s)</m:t>
          </m:r>
          <m:d>
            <m:dPr>
              <m:ctrlPr>
                <w:rPr>
                  <w:rFonts w:hint="eastAsia" w:ascii="Cambria Math" w:hAnsi="Cambria Math" w:eastAsia="宋体" w:cs="宋体"/>
                  <w:b w:val="0"/>
                  <w:bCs w:val="0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R(s,a)+γ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V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π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bCs w:val="0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(s')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</m:d>
        </m:oMath>
      </m:oMathPara>
    </w:p>
    <w:p w14:paraId="2B4DF2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3. 具体情况下的方程展开</w:t>
      </w:r>
    </w:p>
    <w:p w14:paraId="7BEA66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为了更直观地理解，我们可以根据智能体所处的位置对 $V_\pi(s)$ 进行分类讨论：</w:t>
      </w:r>
    </w:p>
    <w:p w14:paraId="7D275F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普通移动情况（未到达目标且未撞墙）：</w:t>
      </w:r>
    </w:p>
    <w:p w14:paraId="3B5AD6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72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若动作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指向相邻格 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sz w:val="24"/>
                <w:szCs w:val="24"/>
              </w:rPr>
              <m:t>next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且不越界：</w:t>
      </w:r>
    </w:p>
    <w:p w14:paraId="23BCF3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720"/>
        <w:jc w:val="left"/>
        <w:textAlignment w:val="auto"/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(s)←π(a|s)[0+γ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s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next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4"/>
              <w:szCs w:val="24"/>
            </w:rPr>
            <m:t>)]</m:t>
          </m:r>
        </m:oMath>
      </m:oMathPara>
    </w:p>
    <w:p w14:paraId="2454E2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720"/>
        <w:jc w:val="left"/>
        <w:textAlignment w:val="auto"/>
        <m:rPr/>
        <w:rPr>
          <w:rFonts w:hint="eastAsia" w:ascii="宋体" w:hAnsi="宋体" w:eastAsia="宋体" w:cs="宋体"/>
          <w:b w:val="0"/>
          <w:bCs w:val="0"/>
          <w:i w:val="0"/>
          <w:sz w:val="24"/>
          <w:szCs w:val="24"/>
        </w:rPr>
      </w:pPr>
    </w:p>
    <w:p w14:paraId="00143E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撞墙情况（越界）：</w:t>
      </w:r>
    </w:p>
    <w:p w14:paraId="156083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若动作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导致撞墙，此时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s'=s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（留在原地）且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r=−0.1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</w:p>
    <w:p w14:paraId="4D3DD56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(s)←π(a|s)[−0.1+γ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(s)]</m:t>
          </m:r>
        </m:oMath>
      </m:oMathPara>
    </w:p>
    <w:p w14:paraId="0954A3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到达目标情况：</w:t>
      </w:r>
    </w:p>
    <w:p w14:paraId="76724B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hAnsi="Cambria Math" w:eastAsia="宋体" w:cs="宋体"/>
          <w:b w:val="0"/>
          <w:bCs w:val="0"/>
          <w:i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若动作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a</m:t>
        </m:r>
      </m:oMath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使得智能体进入</w:t>
      </w:r>
      <m:oMath>
        <m:r>
          <m:rPr/>
          <w:rPr>
            <w:rFonts w:hint="default" w:ascii="Cambria Math" w:hAnsi="Cambria Math" w:eastAsia="宋体" w:cs="宋体"/>
            <w:sz w:val="24"/>
            <w:szCs w:val="24"/>
          </w:rPr>
          <m:t>(2,2)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，此时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宋体" w:cs="宋体"/>
            <w:sz w:val="24"/>
            <w:szCs w:val="24"/>
          </w:rPr>
          <m:t>r=1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</w:t>
      </w:r>
    </w:p>
    <w:p w14:paraId="459D51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m:rPr/>
        <w:rPr>
          <w:rFonts w:hint="default" w:hAnsi="Cambria Math" w:eastAsia="宋体" w:cs="宋体"/>
          <w:b w:val="0"/>
          <w:bCs w:val="0"/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(s)←π(a|s)[1+γ</m:t>
          </m:r>
          <m:sSub>
            <m:sSub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V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 w:cs="宋体"/>
                  <w:sz w:val="24"/>
                  <w:szCs w:val="24"/>
                </w:rPr>
                <m:t>π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宋体" w:cs="宋体"/>
              <w:sz w:val="24"/>
              <w:szCs w:val="24"/>
            </w:rPr>
            <m:t>(2,2)]</m:t>
          </m:r>
        </m:oMath>
      </m:oMathPara>
    </w:p>
    <w:p w14:paraId="481CCB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 xml:space="preserve">在到达目标状态后，游戏结束，定义 </w:t>
      </w:r>
      <m:oMath>
        <m:sSub>
          <m:sSubPr>
            <m:ctrlPr>
              <w:rPr>
                <w:rFonts w:hint="eastAsia" w:ascii="Cambria Math" w:hAnsi="Cambria Math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π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(2,2)=0</m:t>
        </m:r>
      </m:oMath>
      <w:r>
        <m:rPr/>
        <w:rPr>
          <w:rFonts w:hint="eastAsia" w:hAnsi="Cambria Math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</w:p>
    <w:p w14:paraId="269710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OPPO Sans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DDB966"/>
    <w:multiLevelType w:val="singleLevel"/>
    <w:tmpl w:val="4FDDB966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BC7531"/>
    <w:rsid w:val="6C1E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uiPriority w:val="0"/>
    <w:pPr>
      <w:numPr>
        <w:ilvl w:val="0"/>
        <w:numId w:val="1"/>
      </w:numPr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2026-03-15T07:52:50Z</dcterms:created>
  <dc:creator>ASUS</dc:creator>
  <cp:lastModifiedBy>马北田共</cp:lastModifiedBy>
  <dcterms:modified xsi:type="dcterms:W3CDTF">2026-03-15T08:39:46Z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eyJoZGlkIjoiY2EyMzJiMGU1NTk5NTMwNWZkODVhMTRmNmMyY2M4MWUiLCJ1c2VySWQiOiIzMjAwNTM5NzEifQ==</vt:lpwstr>
  </property>
  <property fmtid="{D5CDD505-2E9C-101B-9397-08002B2CF9AE}" pid="4" name="ICV">
    <vt:lpwstr>AC2C30C4469F4C8EAD5BD675857DD943_12</vt:lpwstr>
  </property>
</Properties>
</file>