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line="480" w:lineRule="auto"/>
        <w:ind/>
        <w:jc w:val="center"/>
        <w:rPr>
          <w:color w:val="000000" w:themeColor="text1"/>
        </w:rPr>
      </w:pPr>
      <w:r>
        <w:rPr>
          <w:rFonts w:ascii="Times New Roman" w:hAnsi="Times New Roman" w:eastAsia="Times New Roman" w:cs="Times New Roman"/>
          <w:b/>
          <w:bCs/>
          <w:color w:val="000000" w:themeColor="text1"/>
          <w:sz w:val="28"/>
          <w:szCs w:val="28"/>
        </w:rPr>
        <w:t xml:space="preserve">Data Analytics Capstone</w:t>
      </w:r>
      <w:r>
        <w:rPr>
          <w:color w:val="000000" w:themeColor="text1"/>
        </w:rPr>
      </w:r>
    </w:p>
    <w:p>
      <w:pPr>
        <w:pBdr/>
        <w:spacing w:line="480" w:lineRule="auto"/>
        <w:ind/>
        <w:jc w:val="center"/>
        <w:rPr>
          <w:color w:val="000000" w:themeColor="text1"/>
        </w:rPr>
      </w:pPr>
      <w:r>
        <w:rPr>
          <w:rFonts w:ascii="Times New Roman" w:hAnsi="Times New Roman" w:eastAsia="Times New Roman" w:cs="Times New Roman"/>
          <w:b/>
          <w:bCs/>
          <w:color w:val="000000" w:themeColor="text1"/>
          <w:sz w:val="24"/>
          <w:szCs w:val="24"/>
        </w:rPr>
        <w:t xml:space="preserve">Explainable Virtual Metrology for Semiconductor Yield Prediction Under Severe Class Imbalance: A SHAP-Enhanced Machine Learning Approach Using the SECOM Sensor Dataset</w:t>
      </w:r>
      <w:r>
        <w:rPr>
          <w:color w:val="000000" w:themeColor="text1"/>
        </w:rPr>
      </w:r>
    </w:p>
    <w:p>
      <w:pPr>
        <w:pBdr/>
        <w:spacing w:before="480" w:line="480" w:lineRule="auto"/>
        <w:ind/>
        <w:jc w:val="center"/>
        <w:rPr>
          <w:color w:val="000000" w:themeColor="text1"/>
        </w:rPr>
      </w:pPr>
      <w:r>
        <w:rPr>
          <w:rFonts w:ascii="Times New Roman" w:hAnsi="Times New Roman" w:eastAsia="Times New Roman" w:cs="Times New Roman"/>
          <w:b/>
          <w:bCs/>
          <w:color w:val="000000" w:themeColor="text1"/>
          <w:sz w:val="28"/>
          <w:szCs w:val="28"/>
        </w:rPr>
        <w:t xml:space="preserve">Synopsis</w:t>
      </w:r>
      <w:r>
        <w:rPr>
          <w:color w:val="000000" w:themeColor="text1"/>
        </w:rPr>
      </w:r>
    </w:p>
    <w:p>
      <w:pPr>
        <w:pBdr/>
        <w:spacing w:before="480" w:line="480" w:lineRule="auto"/>
        <w:ind/>
        <w:jc w:val="center"/>
        <w:rPr>
          <w:color w:val="000000" w:themeColor="text1"/>
        </w:rPr>
      </w:pPr>
      <w:r>
        <w:rPr>
          <w:rFonts w:ascii="Times New Roman" w:hAnsi="Times New Roman" w:eastAsia="Times New Roman" w:cs="Times New Roman"/>
          <w:color w:val="000000" w:themeColor="text1"/>
          <w:sz w:val="24"/>
          <w:szCs w:val="24"/>
        </w:rPr>
        <w:t xml:space="preserve">WJ Philippe</w:t>
      </w:r>
      <w:r>
        <w:rPr>
          <w:color w:val="000000" w:themeColor="text1"/>
        </w:rPr>
      </w:r>
    </w:p>
    <w:p>
      <w:pPr>
        <w:pBdr/>
        <w:spacing w:line="480" w:lineRule="auto"/>
        <w:ind/>
        <w:jc w:val="center"/>
        <w:rPr>
          <w:color w:val="000000" w:themeColor="text1"/>
        </w:rPr>
      </w:pPr>
      <w:r>
        <w:rPr>
          <w:rFonts w:ascii="Times New Roman" w:hAnsi="Times New Roman" w:eastAsia="Times New Roman" w:cs="Times New Roman"/>
          <w:color w:val="000000" w:themeColor="text1"/>
          <w:sz w:val="24"/>
          <w:szCs w:val="24"/>
        </w:rPr>
        <w:t xml:space="preserve">Walsh College</w:t>
      </w:r>
      <w:r>
        <w:rPr>
          <w:color w:val="000000" w:themeColor="text1"/>
        </w:rPr>
      </w:r>
    </w:p>
    <w:p>
      <w:pPr>
        <w:pBdr/>
        <w:spacing w:line="480" w:lineRule="auto"/>
        <w:ind/>
        <w:jc w:val="center"/>
        <w:rPr>
          <w:color w:val="000000" w:themeColor="text1"/>
        </w:rPr>
      </w:pPr>
      <w:r>
        <w:rPr>
          <w:rFonts w:ascii="Times New Roman" w:hAnsi="Times New Roman" w:eastAsia="Times New Roman" w:cs="Times New Roman"/>
          <w:color w:val="000000" w:themeColor="text1"/>
          <w:sz w:val="24"/>
          <w:szCs w:val="24"/>
        </w:rPr>
        <w:t xml:space="preserve">QM640: Data Analytics Capstone</w:t>
      </w:r>
      <w:r>
        <w:rPr>
          <w:color w:val="000000" w:themeColor="text1"/>
        </w:rPr>
      </w:r>
    </w:p>
    <w:p>
      <w:pPr>
        <w:pBdr/>
        <w:spacing w:line="480" w:lineRule="auto"/>
        <w:ind/>
        <w:jc w:val="center"/>
        <w:rPr>
          <w:color w:val="000000" w:themeColor="text1"/>
        </w:rPr>
      </w:pPr>
      <w:r>
        <w:rPr>
          <w:rFonts w:ascii="Times New Roman" w:hAnsi="Times New Roman" w:eastAsia="Times New Roman" w:cs="Times New Roman"/>
          <w:color w:val="000000" w:themeColor="text1"/>
          <w:sz w:val="24"/>
          <w:szCs w:val="24"/>
        </w:rPr>
        <w:t xml:space="preserve">Mentor: Jainesh Garg</w:t>
      </w:r>
      <w:r>
        <w:rPr>
          <w:color w:val="000000" w:themeColor="text1"/>
        </w:rPr>
      </w:r>
    </w:p>
    <w:p>
      <w:pPr>
        <w:pBdr/>
        <w:spacing w:line="480" w:lineRule="auto"/>
        <w:ind/>
        <w:jc w:val="center"/>
        <w:rPr>
          <w:color w:val="000000" w:themeColor="text1"/>
        </w:rPr>
      </w:pPr>
      <w:r>
        <w:rPr>
          <w:rFonts w:ascii="Times New Roman" w:hAnsi="Times New Roman" w:eastAsia="Times New Roman" w:cs="Times New Roman"/>
          <w:color w:val="000000" w:themeColor="text1"/>
          <w:sz w:val="24"/>
          <w:szCs w:val="24"/>
        </w:rPr>
        <w:t xml:space="preserve">Summer 2026 Term</w:t>
      </w:r>
      <w:r>
        <w:rPr>
          <w:color w:val="000000" w:themeColor="text1"/>
        </w:rPr>
      </w:r>
    </w:p>
    <w:p>
      <w:pPr>
        <w:pBdr/>
        <w:spacing w:line="480" w:lineRule="auto"/>
        <w:ind/>
        <w:jc w:val="center"/>
        <w:rPr>
          <w:color w:val="000000" w:themeColor="text1"/>
          <w:highlight w:val="none"/>
        </w:rPr>
      </w:pPr>
      <w:r>
        <w:rPr>
          <w:rFonts w:ascii="Times New Roman" w:hAnsi="Times New Roman" w:eastAsia="Times New Roman" w:cs="Times New Roman"/>
          <w:color w:val="000000" w:themeColor="text1"/>
          <w:sz w:val="24"/>
          <w:szCs w:val="24"/>
          <w:highlight w:val="none"/>
        </w:rPr>
        <w:t xml:space="preserve">August</w:t>
      </w:r>
      <w:r>
        <w:rPr>
          <w:rFonts w:ascii="Times New Roman" w:hAnsi="Times New Roman" w:eastAsia="Times New Roman" w:cs="Times New Roman"/>
          <w:color w:val="000000" w:themeColor="text1"/>
          <w:sz w:val="24"/>
          <w:szCs w:val="24"/>
          <w:highlight w:val="none"/>
        </w:rPr>
        <w:t xml:space="preserve"> 2, 2026</w:t>
      </w:r>
      <w:r>
        <w:rPr>
          <w:color w:val="000000" w:themeColor="text1"/>
          <w:highlight w:val="none"/>
        </w:rPr>
      </w:r>
    </w:p>
    <w:p>
      <w:pPr>
        <w:pBdr/>
        <w:spacing/>
        <w:ind/>
        <w:rPr>
          <w:color w:val="000000" w:themeColor="text1"/>
        </w:rPr>
      </w:pPr>
      <w:r>
        <w:rPr>
          <w:color w:val="000000" w:themeColor="text1"/>
        </w:rPr>
        <w:br w:type="page" w:clear="all"/>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Introduction</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Background and Context</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Semiconductor fabrication is one of the m</w:t>
      </w:r>
      <w:r>
        <w:rPr>
          <w:rFonts w:ascii="Times New Roman" w:hAnsi="Times New Roman" w:eastAsia="Times New Roman" w:cs="Times New Roman"/>
          <w:color w:val="000000" w:themeColor="text1"/>
          <w:sz w:val="24"/>
          <w:szCs w:val="24"/>
        </w:rPr>
        <w:t xml:space="preserve">ost instrumented and data-intensive manufacturing processes in industry: a single wafer can pass through hundreds of process steps, each monitored by dozens of sensors tracking variables such as chamber temperature, RF power, gas flow, and plasma state (Mo</w:t>
      </w:r>
      <w:r>
        <w:rPr>
          <w:rFonts w:ascii="Times New Roman" w:hAnsi="Times New Roman" w:eastAsia="Times New Roman" w:cs="Times New Roman"/>
          <w:color w:val="000000" w:themeColor="text1"/>
          <w:sz w:val="24"/>
          <w:szCs w:val="24"/>
        </w:rPr>
        <w:t xml:space="preserve">yne &amp; Iskandar, 2017). Because the cost of a fabrication run is measured in millions of dollars and cycle times span weeks, catching a yield-limiting excursion only at final electrical test is expensive and slow. Virtual metrology (VM) — using in-process s</w:t>
      </w:r>
      <w:r>
        <w:rPr>
          <w:rFonts w:ascii="Times New Roman" w:hAnsi="Times New Roman" w:eastAsia="Times New Roman" w:cs="Times New Roman"/>
          <w:color w:val="000000" w:themeColor="text1"/>
          <w:sz w:val="24"/>
          <w:szCs w:val="24"/>
        </w:rPr>
        <w:t xml:space="preserve">ensor data to predict wafer pass/fail outcomes before physical or electrical testing — has therefore become a central strategy for yield engineering teams seeking to shorten feedback loops and reduce scrap (Susto, Schirru, Pampuri, McLoone, &amp; Beghi, 2015).</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operational stakeholders in this problem are process engineers, yield/quality engineers, and fab operations managers who must decide, often within minutes, whether a tool has drifted out of tolerance and wheth</w:t>
      </w:r>
      <w:r>
        <w:rPr>
          <w:rFonts w:ascii="Times New Roman" w:hAnsi="Times New Roman" w:eastAsia="Times New Roman" w:cs="Times New Roman"/>
          <w:color w:val="000000" w:themeColor="text1"/>
          <w:sz w:val="24"/>
          <w:szCs w:val="24"/>
        </w:rPr>
        <w:t xml:space="preserve">er a lot should be held. A purely predictive model is not enough for this audience: engineers are trained to distrust a pass/fail flag that cannot point to the responsible sensor or process step, and regulatory and internal quality processes typically requ</w:t>
      </w:r>
      <w:r>
        <w:rPr>
          <w:rFonts w:ascii="Times New Roman" w:hAnsi="Times New Roman" w:eastAsia="Times New Roman" w:cs="Times New Roman"/>
          <w:color w:val="000000" w:themeColor="text1"/>
          <w:sz w:val="24"/>
          <w:szCs w:val="24"/>
        </w:rPr>
        <w:t xml:space="preserve">ire a documented root cause before a corrective action is filed (Zhai, Shi, Wong, Han, &amp; Chen, 2024). This creates a strong practical requirement for explainable AI (XAI) methods layered on top of predictive models, rather than black-box classifiers alone.</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A second, compounding challenge is that failure data in real fabs is severely imbalanced — modern processes are tuned to yield in the hi</w:t>
      </w:r>
      <w:r>
        <w:rPr>
          <w:rFonts w:ascii="Times New Roman" w:hAnsi="Times New Roman" w:eastAsia="Times New Roman" w:cs="Times New Roman"/>
          <w:color w:val="000000" w:themeColor="text1"/>
          <w:sz w:val="24"/>
          <w:szCs w:val="24"/>
        </w:rPr>
        <w:t xml:space="preserve">gh nineties percent, so "fail" wafers are rare events relative to "pass" wafers. Standard classifiers trained on such data tend to default to predicting the majority class, giving misleadingly high accuracy while missing the failures that matter most (Chaw</w:t>
      </w:r>
      <w:r>
        <w:rPr>
          <w:rFonts w:ascii="Times New Roman" w:hAnsi="Times New Roman" w:eastAsia="Times New Roman" w:cs="Times New Roman"/>
          <w:color w:val="000000" w:themeColor="text1"/>
          <w:sz w:val="24"/>
          <w:szCs w:val="24"/>
        </w:rPr>
        <w:t xml:space="preserve">la, Bowyer, Hall, &amp; Kegelmeyer, 2002). Any credible virtual metrology solution therefore has to be evaluated with imbalance-aware metrics and validated with a sampling or re-weighting strategy suited to rare-event prediction, not basic train/test accuracy.</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This capstone addresses both requirem</w:t>
      </w:r>
      <w:r>
        <w:rPr>
          <w:rFonts w:ascii="Times New Roman" w:hAnsi="Times New Roman" w:eastAsia="Times New Roman" w:cs="Times New Roman"/>
          <w:color w:val="000000" w:themeColor="text1"/>
          <w:sz w:val="24"/>
          <w:szCs w:val="24"/>
        </w:rPr>
        <w:t xml:space="preserve">ents — predictive accuracy under class imbalance and engineer-facing explainability — using the SECOM dataset, a widely used public benchmark collected from an actual semiconductor manufacturing line (McCann &amp; Johnston, 2008). Because SECOM mirrors the sam</w:t>
      </w:r>
      <w:r>
        <w:rPr>
          <w:rFonts w:ascii="Times New Roman" w:hAnsi="Times New Roman" w:eastAsia="Times New Roman" w:cs="Times New Roman"/>
          <w:color w:val="000000" w:themeColor="text1"/>
          <w:sz w:val="24"/>
          <w:szCs w:val="24"/>
        </w:rPr>
        <w:t xml:space="preserve">e imbalance, dimensionality, and interpretability constraints found in production fabs, it functions as an academically verifiable proxy for the kind of applied yield-engineering problem</w:t>
      </w:r>
      <w:r>
        <w:rPr>
          <w:rFonts w:ascii="Times New Roman" w:hAnsi="Times New Roman" w:eastAsia="Times New Roman" w:cs="Times New Roman"/>
          <w:color w:val="000000" w:themeColor="text1"/>
          <w:sz w:val="24"/>
          <w:szCs w:val="24"/>
          <w:highlight w:val="none"/>
        </w:rPr>
        <w:t xml:space="preserve"> currently present in the industry</w:t>
      </w:r>
      <w:r>
        <w:rPr>
          <w:rFonts w:ascii="Times New Roman" w:hAnsi="Times New Roman" w:eastAsia="Times New Roman" w:cs="Times New Roman"/>
          <w:color w:val="000000" w:themeColor="text1"/>
          <w:sz w:val="24"/>
          <w:szCs w:val="24"/>
          <w:highlight w:val="none"/>
        </w:rPr>
        <w:t xml:space="preserve">.</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Problem Statement</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Fabs collect hundreds o</w:t>
      </w:r>
      <w:r>
        <w:rPr>
          <w:rFonts w:ascii="Times New Roman" w:hAnsi="Times New Roman" w:eastAsia="Times New Roman" w:cs="Times New Roman"/>
          <w:color w:val="000000" w:themeColor="text1"/>
          <w:sz w:val="24"/>
          <w:szCs w:val="24"/>
        </w:rPr>
        <w:t xml:space="preserve">f correlated, high-dimensional sensor readings per wafer, but existing pass/fail classifiers built on this kind of data either sacrifice accuracy by discarding most features to keep the model simple, or sacrifice interpretability by using complex ensemble </w:t>
      </w:r>
      <w:r>
        <w:rPr>
          <w:rFonts w:ascii="Times New Roman" w:hAnsi="Times New Roman" w:eastAsia="Times New Roman" w:cs="Times New Roman"/>
          <w:color w:val="000000" w:themeColor="text1"/>
          <w:sz w:val="24"/>
          <w:szCs w:val="24"/>
        </w:rPr>
        <w:t xml:space="preserve">or deep models that process engineers cannot audit; compounding this, the rare-failure class imbalance inherent to real fab data (in SECOM, roughly 6.6% failures) causes standard classifiers trained without correction to under-detect the failures that actu</w:t>
      </w:r>
      <w:r>
        <w:rPr>
          <w:rFonts w:ascii="Times New Roman" w:hAnsi="Times New Roman" w:eastAsia="Times New Roman" w:cs="Times New Roman"/>
          <w:color w:val="000000" w:themeColor="text1"/>
          <w:sz w:val="24"/>
          <w:szCs w:val="24"/>
        </w:rPr>
        <w:t xml:space="preserve">ally justify a line stoppage, and no widely adopted approach currently reconciles high-dimensional feature selection, class-imbalance correction, and root-cause-level explainability within a single validated pipeline, which is the gap this study addresses.</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Purpose of the Study</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purpose of this study is to build and evaluate an explainable virtual metrology pipeline </w:t>
      </w:r>
      <w:r>
        <w:rPr>
          <w:rFonts w:ascii="Times New Roman" w:hAnsi="Times New Roman" w:eastAsia="Times New Roman" w:cs="Times New Roman"/>
          <w:color w:val="000000" w:themeColor="text1"/>
          <w:sz w:val="24"/>
          <w:szCs w:val="24"/>
        </w:rPr>
        <w:t xml:space="preserve">that classifies semiconductor wafers as pass or fail from multivariate sensor data, identifies which sensors/features drive each prediction, and tests whether reducing the feature space (guided by feature-importance methods) preserves or improves both pred</w:t>
      </w:r>
      <w:r>
        <w:rPr>
          <w:rFonts w:ascii="Times New Roman" w:hAnsi="Times New Roman" w:eastAsia="Times New Roman" w:cs="Times New Roman"/>
          <w:color w:val="000000" w:themeColor="text1"/>
          <w:sz w:val="24"/>
          <w:szCs w:val="24"/>
        </w:rPr>
        <w:t xml:space="preserve">ictive performance and the stability of those explanations. In short, the study is predicting (pass/fail outcome), explaining drivers (via SHAP and an attention-based comparison), and evaluating a feature-selection strategy against a full-feature baseline.</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"Drivers" here refers to the specific sensor features th</w:t>
      </w:r>
      <w:r>
        <w:rPr>
          <w:rFonts w:ascii="Times New Roman" w:hAnsi="Times New Roman" w:eastAsia="Times New Roman" w:cs="Times New Roman"/>
          <w:color w:val="000000" w:themeColor="text1"/>
          <w:sz w:val="24"/>
          <w:szCs w:val="24"/>
        </w:rPr>
        <w:t xml:space="preserve">at push a given model's prediction toward "fail" for a specific wafer — not just which features matter on average across the whole dataset, but which ones mattered for that particular prediction. For example, if the model flags Wafer #482 as a likely fail,</w:t>
      </w:r>
      <w:r>
        <w:rPr>
          <w:rFonts w:ascii="Times New Roman" w:hAnsi="Times New Roman" w:eastAsia="Times New Roman" w:cs="Times New Roman"/>
          <w:color w:val="000000" w:themeColor="text1"/>
          <w:sz w:val="24"/>
          <w:szCs w:val="24"/>
        </w:rPr>
        <w:t xml:space="preserve"> the SHAP explanation might show that a chamber pressure reading 15% above its normal range and a plasma temperature sensor reading below its typical value were the two largest contributors to that specific prediction, together accounting for most of the s</w:t>
      </w:r>
      <w:r>
        <w:rPr>
          <w:rFonts w:ascii="Times New Roman" w:hAnsi="Times New Roman" w:eastAsia="Times New Roman" w:cs="Times New Roman"/>
          <w:color w:val="000000" w:themeColor="text1"/>
          <w:sz w:val="24"/>
          <w:szCs w:val="24"/>
        </w:rPr>
        <w:t xml:space="preserve">hift away from "pass." That is a driver-level explanation: it tells a process engineer not just that the wafer is at risk, but which two process steps to inspect first — the practical difference between a bare pass/fail flag and one an engineer can act on.</w:t>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Scope and Objectives</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following four research questions (RQs) anchor the study. Each is paired with a proposed methodology, and each is revisited in the Sample Size Calculation and Analytic Approach sections below.</w:t>
      </w:r>
      <w:r>
        <w:rPr>
          <w:color w:val="000000" w:themeColor="text1"/>
        </w:rPr>
      </w:r>
    </w:p>
    <w:p>
      <w:pPr>
        <w:pBdr/>
        <w:spacing w:line="480" w:lineRule="auto"/>
        <w:ind/>
        <w:jc w:val="both"/>
        <w:rPr>
          <w:color w:val="000000" w:themeColor="text1"/>
        </w:rPr>
      </w:pPr>
      <w:r>
        <w:rPr>
          <w:rFonts w:ascii="Times New Roman" w:hAnsi="Times New Roman" w:eastAsia="Times New Roman" w:cs="Times New Roman"/>
          <w:b/>
          <w:bCs/>
          <w:color w:val="000000" w:themeColor="text1"/>
          <w:sz w:val="24"/>
          <w:szCs w:val="24"/>
        </w:rPr>
        <w:t xml:space="preserve">Research Question 1 (RQ1): </w:t>
      </w:r>
      <w:r>
        <w:rPr>
          <w:rFonts w:ascii="Times New Roman" w:hAnsi="Times New Roman" w:eastAsia="Times New Roman" w:cs="Times New Roman"/>
          <w:color w:val="000000" w:themeColor="text1"/>
          <w:sz w:val="24"/>
          <w:szCs w:val="24"/>
        </w:rPr>
        <w:t xml:space="preserve">Can a supervised machine learning model — logistic regression, random forest, gradient-boosted trees (XGBoost), and a TabNet deep neural network — predict wafer pass/fail outco</w:t>
      </w:r>
      <w:r>
        <w:rPr>
          <w:rFonts w:ascii="Times New Roman" w:hAnsi="Times New Roman" w:eastAsia="Times New Roman" w:cs="Times New Roman"/>
          <w:color w:val="000000" w:themeColor="text1"/>
          <w:sz w:val="24"/>
          <w:szCs w:val="24"/>
        </w:rPr>
        <w:t xml:space="preserve">mes from the SECOM sensor feature set significantly better than a majority-class baseline, once class imbalance is corrected for, and does the neural architecture (TabNet) offer any measurable advantage over classical tree ensembles on a dataset this size?</w:t>
      </w:r>
      <w:r>
        <w:rPr>
          <w:color w:val="000000" w:themeColor="text1"/>
        </w:rPr>
      </w:r>
    </w:p>
    <w:p>
      <w:pPr>
        <w:pBdr/>
        <w:spacing w:line="480" w:lineRule="auto"/>
        <w:ind/>
        <w:jc w:val="both"/>
        <w:rPr>
          <w:color w:val="000000" w:themeColor="text1"/>
        </w:rPr>
      </w:pPr>
      <w:r>
        <w:rPr>
          <w:rFonts w:ascii="Times New Roman" w:hAnsi="Times New Roman" w:eastAsia="Times New Roman" w:cs="Times New Roman"/>
          <w:b/>
          <w:bCs/>
          <w:color w:val="000000" w:themeColor="text1"/>
          <w:sz w:val="24"/>
          <w:szCs w:val="24"/>
        </w:rPr>
        <w:t xml:space="preserve">Research Question 2 (RQ2): </w:t>
      </w:r>
      <w:r>
        <w:rPr>
          <w:rFonts w:ascii="Times New Roman" w:hAnsi="Times New Roman" w:eastAsia="Times New Roman" w:cs="Times New Roman"/>
          <w:color w:val="000000" w:themeColor="text1"/>
          <w:sz w:val="24"/>
          <w:szCs w:val="24"/>
        </w:rPr>
        <w:t xml:space="preserve">Which sensor features contribute most to the model's pass/fail predictions, as measured by SHAP (SHapley Additive exPlanations) values, and do these top features align with plausible physical process groupings?</w:t>
      </w:r>
      <w:r>
        <w:rPr>
          <w:color w:val="000000" w:themeColor="text1"/>
        </w:rPr>
      </w:r>
    </w:p>
    <w:p>
      <w:pPr>
        <w:pBdr/>
        <w:spacing w:line="480" w:lineRule="auto"/>
        <w:ind/>
        <w:jc w:val="both"/>
        <w:rPr>
          <w:b w:val="0"/>
          <w:bCs w:val="0"/>
          <w:color w:val="000000" w:themeColor="text1"/>
        </w:rPr>
      </w:pPr>
      <w:r>
        <w:rPr>
          <w:rFonts w:ascii="Times New Roman" w:hAnsi="Times New Roman" w:eastAsia="Times New Roman" w:cs="Times New Roman"/>
          <w:b/>
          <w:bCs/>
          <w:color w:val="000000" w:themeColor="text1"/>
          <w:sz w:val="24"/>
          <w:szCs w:val="24"/>
        </w:rPr>
        <w:t xml:space="preserve">Resea</w:t>
      </w:r>
      <w:r>
        <w:rPr>
          <w:rFonts w:ascii="Times New Roman" w:hAnsi="Times New Roman" w:eastAsia="Times New Roman" w:cs="Times New Roman"/>
          <w:b/>
          <w:bCs/>
          <w:color w:val="000000" w:themeColor="text1"/>
          <w:sz w:val="24"/>
          <w:szCs w:val="24"/>
        </w:rPr>
        <w:t xml:space="preserve">rch Question 3 (RQ3): </w:t>
      </w:r>
      <w:r>
        <w:rPr>
          <w:rFonts w:ascii="Times New Roman" w:hAnsi="Times New Roman" w:eastAsia="Times New Roman" w:cs="Times New Roman"/>
          <w:b w:val="0"/>
          <w:bCs w:val="0"/>
          <w:color w:val="000000" w:themeColor="text1"/>
          <w:sz w:val="24"/>
          <w:szCs w:val="24"/>
        </w:rPr>
        <w:t xml:space="preserve">Does a SHAP-guided reduced feature set (top-k sensors) achieve comparable or better predictive performance and lower variance than the full 590-feature model, while satisfying standard events-per-variable guidance for logistic models?</w:t>
      </w:r>
      <w:r>
        <w:rPr>
          <w:rFonts w:ascii="Times New Roman" w:hAnsi="Times New Roman" w:eastAsia="Times New Roman" w:cs="Times New Roman"/>
          <w:b w:val="0"/>
          <w:bCs w:val="0"/>
          <w:color w:val="000000" w:themeColor="text1"/>
          <w:sz w:val="24"/>
          <w:szCs w:val="24"/>
        </w:rPr>
      </w:r>
      <w:r>
        <w:rPr>
          <w:b w:val="0"/>
          <w:bCs w:val="0"/>
          <w:color w:val="000000" w:themeColor="text1"/>
        </w:rPr>
      </w:r>
    </w:p>
    <w:p>
      <w:pPr>
        <w:pBdr/>
        <w:spacing w:line="480" w:lineRule="auto"/>
        <w:ind/>
        <w:jc w:val="both"/>
        <w:rPr>
          <w:color w:val="000000" w:themeColor="text1"/>
        </w:rPr>
      </w:pPr>
      <w:r>
        <w:rPr>
          <w:rFonts w:ascii="Times New Roman" w:hAnsi="Times New Roman" w:eastAsia="Times New Roman" w:cs="Times New Roman"/>
          <w:b/>
          <w:bCs/>
          <w:color w:val="000000" w:themeColor="text1"/>
          <w:sz w:val="24"/>
          <w:szCs w:val="24"/>
        </w:rPr>
        <w:t xml:space="preserve">Research Question 4 (RQ4): </w:t>
      </w:r>
      <w:r>
        <w:rPr>
          <w:rFonts w:ascii="Times New Roman" w:hAnsi="Times New Roman" w:eastAsia="Times New Roman" w:cs="Times New Roman"/>
          <w:color w:val="000000" w:themeColor="text1"/>
          <w:sz w:val="24"/>
          <w:szCs w:val="24"/>
        </w:rPr>
        <w:t xml:space="preserve">Is TabNet's built-in, attention-based interpretability actually trustworthy — do its per-instance attention weights agree with post-hoc SHAP explanations on which features matter, and (using a plain M</w:t>
      </w:r>
      <w:r>
        <w:rPr>
          <w:rFonts w:ascii="Times New Roman" w:hAnsi="Times New Roman" w:eastAsia="Times New Roman" w:cs="Times New Roman"/>
          <w:color w:val="000000" w:themeColor="text1"/>
          <w:sz w:val="24"/>
          <w:szCs w:val="24"/>
        </w:rPr>
        <w:t xml:space="preserve">LP with no attention mechanism as a control) how much of that agreement is attributable to the attention mechanism itself versus simply being a neural network? What does the answer imply for engineer trust in a deployed model that claims to explain itself?</w:t>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Sample Size Calculation</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Because the study reuses the existing SECOM dataset rather than collecting new data, this section works in the opposite direction from a typical prospective study: i</w:t>
      </w:r>
      <w:r>
        <w:rPr>
          <w:rFonts w:ascii="Times New Roman" w:hAnsi="Times New Roman" w:eastAsia="Times New Roman" w:cs="Times New Roman"/>
          <w:color w:val="000000" w:themeColor="text1"/>
          <w:sz w:val="24"/>
          <w:szCs w:val="24"/>
        </w:rPr>
        <w:t xml:space="preserve">t establishes the minimum N each analysis would require, then checks that against the dataset's actual size (N = 1,567; 104 fail / 1,463 pass) to judge adequacy. Table 1 summarizes the method, parameters, and minimum sample size for each research question.</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Table 1</w:t>
      </w:r>
      <w:r>
        <w:rPr>
          <w:color w:val="000000" w:themeColor="text1"/>
        </w:rPr>
      </w:r>
    </w:p>
    <w:p>
      <w:pPr>
        <w:pBdr/>
        <w:spacing w:line="480" w:lineRule="auto"/>
        <w:ind/>
        <w:jc w:val="both"/>
        <w:rPr>
          <w:color w:val="000000" w:themeColor="text1"/>
        </w:rPr>
      </w:pPr>
      <w:r>
        <w:rPr>
          <w:rFonts w:ascii="Times New Roman" w:hAnsi="Times New Roman" w:eastAsia="Times New Roman" w:cs="Times New Roman"/>
          <w:i/>
          <w:iCs/>
          <w:color w:val="000000" w:themeColor="text1"/>
          <w:sz w:val="24"/>
          <w:szCs w:val="24"/>
        </w:rPr>
        <w:t xml:space="preserve">Minimum Sample Size by Research Question</w:t>
      </w:r>
      <w:r>
        <w:rPr>
          <w:color w:val="000000" w:themeColor="text1"/>
        </w:rPr>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400"/>
        <w:gridCol w:w="3400"/>
        <w:gridCol w:w="1600"/>
      </w:tblGrid>
      <w:tr>
        <w:trPr>
          <w:tblHeader/>
        </w:trPr>
        <w:tc>
          <w:tcPr>
            <w:shd w:val="clear" w:color="auto" w:fill="d9d9d9"/>
            <w:tcBorders/>
            <w:tcW w:w="1600" w:type="dxa"/>
          </w:tcPr>
          <w:p>
            <w:pPr>
              <w:pBdr/>
              <w:spacing w:line="276" w:lineRule="auto"/>
              <w:ind/>
              <w:rPr>
                <w:color w:val="000000" w:themeColor="text1"/>
              </w:rPr>
            </w:pPr>
            <w:r>
              <w:rPr>
                <w:rFonts w:ascii="Times New Roman" w:hAnsi="Times New Roman" w:eastAsia="Times New Roman" w:cs="Times New Roman"/>
                <w:b/>
                <w:bCs/>
                <w:color w:val="000000" w:themeColor="text1"/>
                <w:sz w:val="24"/>
                <w:szCs w:val="24"/>
              </w:rPr>
              <w:t xml:space="preserve">Research Question</w:t>
            </w:r>
            <w:r>
              <w:rPr>
                <w:color w:val="000000" w:themeColor="text1"/>
              </w:rPr>
            </w:r>
          </w:p>
        </w:tc>
        <w:tc>
          <w:tcPr>
            <w:shd w:val="clear" w:color="auto" w:fill="d9d9d9"/>
            <w:tcBorders/>
            <w:tcW w:w="3400" w:type="dxa"/>
          </w:tcPr>
          <w:p>
            <w:pPr>
              <w:pBdr/>
              <w:spacing w:line="276" w:lineRule="auto"/>
              <w:ind/>
              <w:rPr>
                <w:color w:val="000000" w:themeColor="text1"/>
              </w:rPr>
            </w:pPr>
            <w:r>
              <w:rPr>
                <w:rFonts w:ascii="Times New Roman" w:hAnsi="Times New Roman" w:eastAsia="Times New Roman" w:cs="Times New Roman"/>
                <w:b/>
                <w:bCs/>
                <w:color w:val="000000" w:themeColor="text1"/>
                <w:sz w:val="24"/>
                <w:szCs w:val="24"/>
              </w:rPr>
              <w:t xml:space="preserve">Method Used</w:t>
            </w:r>
            <w:r>
              <w:rPr>
                <w:color w:val="000000" w:themeColor="text1"/>
              </w:rPr>
            </w:r>
          </w:p>
        </w:tc>
        <w:tc>
          <w:tcPr>
            <w:shd w:val="clear" w:color="auto" w:fill="d9d9d9"/>
            <w:tcBorders/>
            <w:tcW w:w="3400" w:type="dxa"/>
          </w:tcPr>
          <w:p>
            <w:pPr>
              <w:pBdr/>
              <w:spacing w:line="276" w:lineRule="auto"/>
              <w:ind/>
              <w:rPr>
                <w:color w:val="000000" w:themeColor="text1"/>
              </w:rPr>
            </w:pPr>
            <w:r>
              <w:rPr>
                <w:rFonts w:ascii="Times New Roman" w:hAnsi="Times New Roman" w:eastAsia="Times New Roman" w:cs="Times New Roman"/>
                <w:b/>
                <w:bCs/>
                <w:color w:val="000000" w:themeColor="text1"/>
                <w:sz w:val="24"/>
                <w:szCs w:val="24"/>
              </w:rPr>
              <w:t xml:space="preserve">Key Parameters</w:t>
            </w:r>
            <w:r>
              <w:rPr>
                <w:color w:val="000000" w:themeColor="text1"/>
              </w:rPr>
            </w:r>
          </w:p>
        </w:tc>
        <w:tc>
          <w:tcPr>
            <w:shd w:val="clear" w:color="auto" w:fill="d9d9d9"/>
            <w:tcBorders/>
            <w:tcW w:w="1600" w:type="dxa"/>
          </w:tcPr>
          <w:p>
            <w:pPr>
              <w:pBdr/>
              <w:spacing w:line="276" w:lineRule="auto"/>
              <w:ind/>
              <w:rPr>
                <w:color w:val="000000" w:themeColor="text1"/>
              </w:rPr>
            </w:pPr>
            <w:r>
              <w:rPr>
                <w:rFonts w:ascii="Times New Roman" w:hAnsi="Times New Roman" w:eastAsia="Times New Roman" w:cs="Times New Roman"/>
                <w:b/>
                <w:bCs/>
                <w:color w:val="000000" w:themeColor="text1"/>
                <w:sz w:val="24"/>
                <w:szCs w:val="24"/>
              </w:rPr>
              <w:t xml:space="preserve">Minimum Sample Size (N)</w:t>
            </w:r>
            <w:r>
              <w:rPr>
                <w:color w:val="000000" w:themeColor="text1"/>
              </w:rPr>
            </w:r>
          </w:p>
        </w:tc>
      </w:tr>
      <w:tr>
        <w:trPr/>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RQ1</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Events-per-variable (EPV) rule for logistic regression (Peduzzi, Concato, Kemper, Holford, &amp; Feinstein, 1996)</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EPV = 10, event rate p = 0.066 (104/1,567 SECOM fails), k = 10 predictors</w:t>
            </w:r>
            <w:r>
              <w:rPr>
                <w:color w:val="000000" w:themeColor="text1"/>
              </w:rPr>
            </w:r>
          </w:p>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N = (EPV × k) / p</w:t>
            </w:r>
            <w:r>
              <w:rPr>
                <w:color w:val="000000" w:themeColor="text1"/>
              </w:rPr>
            </w:r>
          </w:p>
        </w:tc>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 1,515</w:t>
            </w:r>
            <w:r>
              <w:rPr>
                <w:color w:val="000000" w:themeColor="text1"/>
              </w:rPr>
            </w:r>
          </w:p>
        </w:tc>
      </w:tr>
      <w:tr>
        <w:trPr/>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RQ2</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Practical minimum for stable global SHAP importance ranking on tabular data (Lundberg &amp; Lee, 2017)</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Heuristic minimum for stable Monte-Carlo Shapley estimates across ~590 correlated features</w:t>
            </w:r>
            <w:r>
              <w:rPr>
                <w:color w:val="000000" w:themeColor="text1"/>
              </w:rPr>
            </w:r>
          </w:p>
        </w:tc>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 500 (heuristic, not a formal power test)</w:t>
            </w:r>
            <w:r>
              <w:rPr>
                <w:color w:val="000000" w:themeColor="text1"/>
              </w:rPr>
            </w:r>
          </w:p>
        </w:tc>
      </w:tr>
      <w:tr>
        <w:trPr/>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RQ3</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Two-proportion comparison of model accuracy, full vs. reduced feature set (Cohen's h)</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α = .05, Power = .80, p1 = .90, p2 = .80, h ≈ 0.28</w:t>
            </w:r>
            <w:r>
              <w:rPr>
                <w:color w:val="000000" w:themeColor="text1"/>
              </w:rPr>
            </w:r>
          </w:p>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n = ((zα/2+zβ)/h)²</w:t>
            </w:r>
            <w:r>
              <w:rPr>
                <w:color w:val="000000" w:themeColor="text1"/>
              </w:rPr>
            </w:r>
          </w:p>
        </w:tc>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 196 (≈98/group)</w:t>
            </w:r>
            <w:r>
              <w:rPr>
                <w:color w:val="000000" w:themeColor="text1"/>
              </w:rPr>
            </w:r>
          </w:p>
        </w:tc>
      </w:tr>
      <w:tr>
        <w:trPr/>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RQ4</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Fisher z-transformed correlation test, SHAP-rank vs. attention-rank agreement</w:t>
            </w:r>
            <w:r>
              <w:rPr>
                <w:color w:val="000000" w:themeColor="text1"/>
              </w:rPr>
            </w:r>
          </w:p>
        </w:tc>
        <w:tc>
          <w:tcPr>
            <w:tcBorders/>
            <w:tcW w:w="34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α = .05, Power = .80, r = .30 (medium)</w:t>
            </w:r>
            <w:r>
              <w:rPr>
                <w:color w:val="000000" w:themeColor="text1"/>
              </w:rPr>
            </w:r>
          </w:p>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n = ((zα/2+zβ)/C(r))² + 3</w:t>
            </w:r>
            <w:r>
              <w:rPr>
                <w:color w:val="000000" w:themeColor="text1"/>
              </w:rPr>
            </w:r>
          </w:p>
        </w:tc>
        <w:tc>
          <w:tcPr>
            <w:tcBorders/>
            <w:tcW w:w="1600" w:type="dxa"/>
          </w:tcPr>
          <w:p>
            <w:pPr>
              <w:pBdr/>
              <w:spacing w:line="276" w:lineRule="auto"/>
              <w:ind/>
              <w:rPr>
                <w:color w:val="000000" w:themeColor="text1"/>
              </w:rPr>
            </w:pPr>
            <w:r>
              <w:rPr>
                <w:rFonts w:ascii="Times New Roman" w:hAnsi="Times New Roman" w:eastAsia="Times New Roman" w:cs="Times New Roman"/>
                <w:b w:val="0"/>
                <w:bCs w:val="0"/>
                <w:color w:val="000000" w:themeColor="text1"/>
                <w:sz w:val="24"/>
                <w:szCs w:val="24"/>
              </w:rPr>
              <w:t xml:space="preserve">≈ 85</w:t>
            </w:r>
            <w:r>
              <w:rPr>
                <w:color w:val="000000" w:themeColor="text1"/>
              </w:rPr>
            </w:r>
          </w:p>
        </w:tc>
      </w:tr>
    </w:tbl>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To ensure adequate statistical power across all analyses, the final sample size is selected as the maximum of the minimum sample sizes obtained across RQ1-RQ4, which is driven by RQ1's events</w:t>
      </w:r>
      <w:r>
        <w:rPr>
          <w:rFonts w:ascii="Times New Roman" w:hAnsi="Times New Roman" w:eastAsia="Times New Roman" w:cs="Times New Roman"/>
          <w:color w:val="000000" w:themeColor="text1"/>
          <w:sz w:val="24"/>
          <w:szCs w:val="24"/>
        </w:rPr>
        <w:t xml:space="preserve">-per-variable requirement (≈1,515). SECOM's available N of 1,567 clears this threshold, but only narrowly — a margin of roughly 3%. This is treated as a load-bearing constraint on the design rather than a footnote: it is the direct justification for (a) ca</w:t>
      </w:r>
      <w:r>
        <w:rPr>
          <w:rFonts w:ascii="Times New Roman" w:hAnsi="Times New Roman" w:eastAsia="Times New Roman" w:cs="Times New Roman"/>
          <w:color w:val="000000" w:themeColor="text1"/>
          <w:sz w:val="24"/>
          <w:szCs w:val="24"/>
        </w:rPr>
        <w:t xml:space="preserve">pping the final predictive model at approximately 10 well-chosen predictors (tying RQ1 to the RQ3 feature-selection question), and (b) using stratified k-fold cross-validation together with class-weighting or SMOTE-based resampling (Chawla et al., 2002) ra</w:t>
      </w:r>
      <w:r>
        <w:rPr>
          <w:rFonts w:ascii="Times New Roman" w:hAnsi="Times New Roman" w:eastAsia="Times New Roman" w:cs="Times New Roman"/>
          <w:color w:val="000000" w:themeColor="text1"/>
          <w:sz w:val="24"/>
          <w:szCs w:val="24"/>
        </w:rPr>
        <w:t xml:space="preserve">ther than a single train/test split, so that the effective minority-class sample is not further eroded by an unlucky split. This constraint, and how the mentor would like it addressed, is one of the first items flagged for discussion in the mentor session.</w:t>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Data Description</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Source: </w:t>
      </w:r>
      <w:r>
        <w:rPr>
          <w:rFonts w:ascii="Times New Roman" w:hAnsi="Times New Roman" w:eastAsia="Times New Roman" w:cs="Times New Roman"/>
          <w:color w:val="000000" w:themeColor="text1"/>
          <w:sz w:val="24"/>
          <w:szCs w:val="24"/>
        </w:rPr>
        <w:t xml:space="preserve">SECOM [Dataset]. UCI Machine Learning Repository (McCann &amp; Johnston, 2008). https://doi.org/10.24432/C54305. Also mirrored on Kaggle and importable in Python via the ucimlrepo package (id = 179).</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dataset contains 1,567 examples, each representing one wafer's pass/fail outcome from an actual semiconductor manufacturing line. A direct fet</w:t>
      </w:r>
      <w:r>
        <w:rPr>
          <w:rFonts w:ascii="Times New Roman" w:hAnsi="Times New Roman" w:eastAsia="Times New Roman" w:cs="Times New Roman"/>
          <w:color w:val="000000" w:themeColor="text1"/>
          <w:sz w:val="24"/>
          <w:szCs w:val="24"/>
        </w:rPr>
        <w:t xml:space="preserve">ch of UCI's raw data files (notebooks/01_data_screening.ipynb, run July 2026) confirms 590 continuous sensor/process feature columns plus a separate pass/fail label -- 591 total data columns if the label is counted alongside the features. This is worth not</w:t>
      </w:r>
      <w:r>
        <w:rPr>
          <w:rFonts w:ascii="Times New Roman" w:hAnsi="Times New Roman" w:eastAsia="Times New Roman" w:cs="Times New Roman"/>
          <w:color w:val="000000" w:themeColor="text1"/>
          <w:sz w:val="24"/>
          <w:szCs w:val="24"/>
        </w:rPr>
        <w:t xml:space="preserve">ing explicitly: several secondary sources (including UCI's own summary metadata) describe the dataset as having "591 features," which appears to count the label column as a feature; the figure used throughout this synopsis (590) reflects the actual number </w:t>
      </w:r>
      <w:r>
        <w:rPr>
          <w:rFonts w:ascii="Times New Roman" w:hAnsi="Times New Roman" w:eastAsia="Times New Roman" w:cs="Times New Roman"/>
          <w:color w:val="000000" w:themeColor="text1"/>
          <w:sz w:val="24"/>
          <w:szCs w:val="24"/>
        </w:rPr>
        <w:t xml:space="preserve">of sensor feature columns loaded and screened. The target label is binary: -1 = pass, 1 = fail, with 104 fail cases (6.64%) and 1,463 pass cases, confirmed directly from the real data and matching the assumption used in the Sample Size Calculation section.</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Data Dictionary</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Table 2 shows real, computed results from running notebooks/01_data_screening.ipynb against the actual SECOM data (executed July 2026), replacing the documented-category placeholder</w:t>
      </w:r>
      <w:r>
        <w:rPr>
          <w:rFonts w:ascii="Times New Roman" w:hAnsi="Times New Roman" w:eastAsia="Times New Roman" w:cs="Times New Roman"/>
          <w:color w:val="000000" w:themeColor="text1"/>
          <w:sz w:val="24"/>
          <w:szCs w:val="24"/>
        </w:rPr>
        <w:t xml:space="preserve"> used in earlier drafts of this synopsis. It reports the real screening summary, the 10 features with the highest missingness, and the 10 features with the strongest correlation to the pass/fail label -- the latter serving as an early, unvalidated preview </w:t>
      </w:r>
      <w:r>
        <w:rPr>
          <w:rFonts w:ascii="Times New Roman" w:hAnsi="Times New Roman" w:eastAsia="Times New Roman" w:cs="Times New Roman"/>
          <w:color w:val="000000" w:themeColor="text1"/>
          <w:sz w:val="24"/>
          <w:szCs w:val="24"/>
        </w:rPr>
        <w:t xml:space="preserve">of which sensors RQ2's SHAP ranking is likely to surface, not a substitute for that formal analysis. The complete per-sensor dictionary for all 590 features (not just these top-10 excerpts) is available as a CSV artifact in the project's GitHub repository.</w:t>
      </w:r>
      <w:r>
        <w:rPr>
          <w:color w:val="000000" w:themeColor="text1"/>
        </w:rPr>
      </w:r>
    </w:p>
    <w:p>
      <w:pPr>
        <w:pBdr/>
        <w:spacing w:line="480" w:lineRule="auto"/>
        <w:ind/>
        <w:jc w:val="left"/>
        <w:rPr>
          <w:color w:val="000000" w:themeColor="text1"/>
        </w:rPr>
      </w:pPr>
      <w:r>
        <w:rPr>
          <w:rFonts w:ascii="Times New Roman" w:hAnsi="Times New Roman" w:eastAsia="Times New Roman" w:cs="Times New Roman"/>
          <w:color w:val="000000" w:themeColor="text1"/>
          <w:sz w:val="24"/>
          <w:szCs w:val="24"/>
        </w:rPr>
        <w:t xml:space="preserve">Table 2</w:t>
      </w:r>
      <w:r>
        <w:rPr>
          <w:color w:val="000000" w:themeColor="text1"/>
        </w:rPr>
      </w:r>
    </w:p>
    <w:p>
      <w:pPr>
        <w:pBdr/>
        <w:spacing w:line="480" w:lineRule="auto"/>
        <w:ind/>
        <w:jc w:val="left"/>
        <w:rPr>
          <w:color w:val="000000" w:themeColor="text1"/>
        </w:rPr>
      </w:pPr>
      <w:r>
        <w:rPr>
          <w:rFonts w:ascii="Times New Roman" w:hAnsi="Times New Roman" w:eastAsia="Times New Roman" w:cs="Times New Roman"/>
          <w:i/>
          <w:iCs/>
          <w:color w:val="000000" w:themeColor="text1"/>
          <w:sz w:val="24"/>
          <w:szCs w:val="24"/>
        </w:rPr>
        <w:t xml:space="preserve">Real SECOM Screening Results (notebooks/01_data_screening.ipynb, run July 2026)</w:t>
      </w:r>
      <w:r>
        <w:rPr>
          <w:color w:val="000000" w:themeColor="text1"/>
        </w:rPr>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500"/>
        <w:gridCol w:w="1900"/>
        <w:gridCol w:w="4000"/>
      </w:tblGrid>
      <w:tr>
        <w:trPr>
          <w:tblHeader/>
        </w:trPr>
        <w:tc>
          <w:tcPr>
            <w:shd w:val="clear" w:color="auto" w:fill="d9d9d9"/>
            <w:tcBorders/>
            <w:tcW w:w="2600" w:type="dxa"/>
          </w:tcPr>
          <w:p>
            <w:pPr>
              <w:pBdr/>
              <w:spacing/>
              <w:ind/>
              <w:rPr>
                <w:color w:val="000000" w:themeColor="text1"/>
              </w:rPr>
            </w:pPr>
            <w:r>
              <w:rPr>
                <w:rFonts w:ascii="Times New Roman" w:hAnsi="Times New Roman" w:eastAsia="Times New Roman" w:cs="Times New Roman"/>
                <w:b/>
                <w:bCs/>
                <w:color w:val="000000" w:themeColor="text1"/>
                <w:sz w:val="24"/>
                <w:szCs w:val="24"/>
              </w:rPr>
              <w:t xml:space="preserve">Feature / Metric</w:t>
            </w:r>
            <w:r>
              <w:rPr>
                <w:color w:val="000000" w:themeColor="text1"/>
              </w:rPr>
            </w:r>
          </w:p>
        </w:tc>
        <w:tc>
          <w:tcPr>
            <w:shd w:val="clear" w:color="auto" w:fill="d9d9d9"/>
            <w:tcBorders/>
            <w:tcW w:w="1500" w:type="dxa"/>
          </w:tcPr>
          <w:p>
            <w:pPr>
              <w:pBdr/>
              <w:spacing/>
              <w:ind/>
              <w:rPr>
                <w:color w:val="000000" w:themeColor="text1"/>
              </w:rPr>
            </w:pPr>
            <w:r>
              <w:rPr>
                <w:rFonts w:ascii="Times New Roman" w:hAnsi="Times New Roman" w:eastAsia="Times New Roman" w:cs="Times New Roman"/>
                <w:b/>
                <w:bCs/>
                <w:color w:val="000000" w:themeColor="text1"/>
                <w:sz w:val="24"/>
                <w:szCs w:val="24"/>
              </w:rPr>
              <w:t xml:space="preserve">Value</w:t>
            </w:r>
            <w:r>
              <w:rPr>
                <w:color w:val="000000" w:themeColor="text1"/>
              </w:rPr>
            </w:r>
          </w:p>
        </w:tc>
        <w:tc>
          <w:tcPr>
            <w:shd w:val="clear" w:color="auto" w:fill="d9d9d9"/>
            <w:tcBorders/>
            <w:tcW w:w="1900" w:type="dxa"/>
          </w:tcPr>
          <w:p>
            <w:pPr>
              <w:pBdr/>
              <w:spacing/>
              <w:ind/>
              <w:rPr>
                <w:color w:val="000000" w:themeColor="text1"/>
              </w:rPr>
            </w:pPr>
            <w:r>
              <w:rPr>
                <w:rFonts w:ascii="Times New Roman" w:hAnsi="Times New Roman" w:eastAsia="Times New Roman" w:cs="Times New Roman"/>
                <w:b/>
                <w:bCs/>
                <w:color w:val="000000" w:themeColor="text1"/>
                <w:sz w:val="24"/>
                <w:szCs w:val="24"/>
              </w:rPr>
              <w:t xml:space="preserve">Notes</w:t>
            </w:r>
            <w:r>
              <w:rPr>
                <w:color w:val="000000" w:themeColor="text1"/>
              </w:rPr>
            </w:r>
          </w:p>
        </w:tc>
        <w:tc>
          <w:tcPr>
            <w:shd w:val="clear" w:color="auto" w:fill="d9d9d9"/>
            <w:tcBorders/>
            <w:tcW w:w="4000" w:type="dxa"/>
          </w:tcPr>
          <w:p>
            <w:pPr>
              <w:pBdr/>
              <w:spacing/>
              <w:ind/>
              <w:rPr>
                <w:color w:val="000000" w:themeColor="text1"/>
              </w:rPr>
            </w:pPr>
            <w:r>
              <w:rPr>
                <w:rFonts w:ascii="Times New Roman" w:hAnsi="Times New Roman" w:eastAsia="Times New Roman" w:cs="Times New Roman"/>
                <w:b/>
                <w:bCs/>
                <w:color w:val="000000" w:themeColor="text1"/>
                <w:sz w:val="24"/>
                <w:szCs w:val="24"/>
              </w:rPr>
            </w:r>
            <w:r>
              <w:rPr>
                <w:color w:val="000000" w:themeColor="text1"/>
              </w:rPr>
            </w:r>
          </w:p>
        </w:tc>
      </w:tr>
      <w:tr>
        <w:trPr/>
        <w:tc>
          <w:tcPr>
            <w:tcBorders/>
            <w:tcW w:w="2600" w:type="dxa"/>
          </w:tcPr>
          <w:p>
            <w:pPr>
              <w:pBdr/>
              <w:spacing/>
              <w:ind/>
              <w:rPr>
                <w:color w:val="000000" w:themeColor="text1"/>
              </w:rPr>
            </w:pPr>
            <w:r>
              <w:rPr>
                <w:b/>
                <w:color w:val="000000" w:themeColor="text1"/>
              </w:rPr>
              <w:t xml:space="preserve">— Screening Summary —</w:t>
            </w:r>
            <w:r>
              <w:rPr>
                <w:color w:val="000000" w:themeColor="text1"/>
              </w:rPr>
            </w:r>
          </w:p>
        </w:tc>
        <w:tc>
          <w:tcPr>
            <w:tcBorders/>
            <w:tcW w:w="1500" w:type="dxa"/>
          </w:tcPr>
          <w:p>
            <w:pPr>
              <w:pBdr/>
              <w:spacing/>
              <w:ind/>
              <w:rPr>
                <w:color w:val="000000" w:themeColor="text1"/>
              </w:rPr>
            </w:pPr>
            <w:r>
              <w:rPr>
                <w:color w:val="000000" w:themeColor="text1"/>
              </w:rPr>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Total raw sensor feature columns</w:t>
            </w:r>
            <w:r>
              <w:rPr>
                <w:color w:val="000000" w:themeColor="text1"/>
              </w:rPr>
            </w:r>
          </w:p>
        </w:tc>
        <w:tc>
          <w:tcPr>
            <w:tcBorders/>
            <w:tcW w:w="1500" w:type="dxa"/>
          </w:tcPr>
          <w:p>
            <w:pPr>
              <w:pBdr/>
              <w:spacing/>
              <w:ind/>
              <w:rPr>
                <w:color w:val="000000" w:themeColor="text1"/>
              </w:rPr>
            </w:pPr>
            <w:r>
              <w:rPr>
                <w:color w:val="000000" w:themeColor="text1"/>
              </w:rPr>
              <w:t xml:space="preserve">590</w:t>
            </w:r>
            <w:r>
              <w:rPr>
                <w:color w:val="000000" w:themeColor="text1"/>
              </w:rPr>
            </w:r>
          </w:p>
        </w:tc>
        <w:tc>
          <w:tcPr>
            <w:tcBorders/>
            <w:tcW w:w="1900" w:type="dxa"/>
          </w:tcPr>
          <w:p>
            <w:pPr>
              <w:pBdr/>
              <w:spacing/>
              <w:ind/>
              <w:rPr>
                <w:color w:val="000000" w:themeColor="text1"/>
              </w:rPr>
            </w:pPr>
            <w:r>
              <w:rPr>
                <w:color w:val="000000" w:themeColor="text1"/>
              </w:rPr>
              <w:t xml:space="preserve">591 total columns if the pass/fail label is counted alongside features</w:t>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Dropped: exceeds 40% missingness</w:t>
            </w:r>
            <w:r>
              <w:rPr>
                <w:color w:val="000000" w:themeColor="text1"/>
              </w:rPr>
            </w:r>
          </w:p>
        </w:tc>
        <w:tc>
          <w:tcPr>
            <w:tcBorders/>
            <w:tcW w:w="1500" w:type="dxa"/>
          </w:tcPr>
          <w:p>
            <w:pPr>
              <w:pBdr/>
              <w:spacing/>
              <w:ind/>
              <w:rPr>
                <w:color w:val="000000" w:themeColor="text1"/>
              </w:rPr>
            </w:pPr>
            <w:r>
              <w:rPr>
                <w:color w:val="000000" w:themeColor="text1"/>
              </w:rPr>
              <w:t xml:space="preserve">32 columns</w:t>
            </w:r>
            <w:r>
              <w:rPr>
                <w:color w:val="000000" w:themeColor="text1"/>
              </w:rPr>
            </w:r>
          </w:p>
        </w:tc>
        <w:tc>
          <w:tcPr>
            <w:tcBorders/>
            <w:tcW w:w="1900" w:type="dxa"/>
          </w:tcPr>
          <w:p>
            <w:pPr>
              <w:pBdr/>
              <w:spacing/>
              <w:ind/>
              <w:rPr>
                <w:color w:val="000000" w:themeColor="text1"/>
              </w:rPr>
            </w:pPr>
            <w:r>
              <w:rPr>
                <w:color w:val="000000" w:themeColor="text1"/>
              </w:rPr>
              <w:t xml:space="preserve">Threshold set in src/preprocessing.py</w:t>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Dropped: near-zero variance</w:t>
            </w:r>
            <w:r>
              <w:rPr>
                <w:color w:val="000000" w:themeColor="text1"/>
              </w:rPr>
            </w:r>
          </w:p>
        </w:tc>
        <w:tc>
          <w:tcPr>
            <w:tcBorders/>
            <w:tcW w:w="1500" w:type="dxa"/>
          </w:tcPr>
          <w:p>
            <w:pPr>
              <w:pBdr/>
              <w:spacing/>
              <w:ind/>
              <w:rPr>
                <w:color w:val="000000" w:themeColor="text1"/>
              </w:rPr>
            </w:pPr>
            <w:r>
              <w:rPr>
                <w:color w:val="000000" w:themeColor="text1"/>
              </w:rPr>
              <w:t xml:space="preserve">126 columns</w:t>
            </w:r>
            <w:r>
              <w:rPr>
                <w:color w:val="000000" w:themeColor="text1"/>
              </w:rPr>
            </w:r>
          </w:p>
        </w:tc>
        <w:tc>
          <w:tcPr>
            <w:tcBorders/>
            <w:tcW w:w="1900" w:type="dxa"/>
          </w:tcPr>
          <w:p>
            <w:pPr>
              <w:pBdr/>
              <w:spacing/>
              <w:ind/>
              <w:rPr>
                <w:color w:val="000000" w:themeColor="text1"/>
              </w:rPr>
            </w:pPr>
            <w:r>
              <w:rPr>
                <w:color w:val="000000" w:themeColor="text1"/>
              </w:rPr>
              <w:t xml:space="preserve">Threshold = 1e-6, set in src/preprocessing.py</w:t>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Remaining after screening</w:t>
            </w:r>
            <w:r>
              <w:rPr>
                <w:color w:val="000000" w:themeColor="text1"/>
              </w:rPr>
            </w:r>
          </w:p>
        </w:tc>
        <w:tc>
          <w:tcPr>
            <w:tcBorders/>
            <w:tcW w:w="1500" w:type="dxa"/>
          </w:tcPr>
          <w:p>
            <w:pPr>
              <w:pBdr/>
              <w:spacing/>
              <w:ind/>
              <w:rPr>
                <w:color w:val="000000" w:themeColor="text1"/>
              </w:rPr>
            </w:pPr>
            <w:r>
              <w:rPr>
                <w:color w:val="000000" w:themeColor="text1"/>
              </w:rPr>
              <w:t xml:space="preserve">432 features</w:t>
            </w:r>
            <w:r>
              <w:rPr>
                <w:color w:val="000000" w:themeColor="text1"/>
              </w:rPr>
            </w:r>
          </w:p>
        </w:tc>
        <w:tc>
          <w:tcPr>
            <w:tcBorders/>
            <w:tcW w:w="1900" w:type="dxa"/>
          </w:tcPr>
          <w:p>
            <w:pPr>
              <w:pBdr/>
              <w:spacing/>
              <w:ind/>
              <w:rPr>
                <w:color w:val="000000" w:themeColor="text1"/>
              </w:rPr>
            </w:pPr>
            <w:r>
              <w:rPr>
                <w:color w:val="000000" w:themeColor="text1"/>
              </w:rPr>
              <w:t xml:space="preserve">Candidate pool feeding into RQ2's SHAP ranking</w:t>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b/>
                <w:color w:val="000000" w:themeColor="text1"/>
              </w:rPr>
              <w:t xml:space="preserve">— Top 10 Features by Missingness —</w:t>
            </w:r>
            <w:r>
              <w:rPr>
                <w:color w:val="000000" w:themeColor="text1"/>
              </w:rPr>
            </w:r>
          </w:p>
        </w:tc>
        <w:tc>
          <w:tcPr>
            <w:tcBorders/>
            <w:tcW w:w="1500" w:type="dxa"/>
          </w:tcPr>
          <w:p>
            <w:pPr>
              <w:pBdr/>
              <w:spacing/>
              <w:ind/>
              <w:rPr>
                <w:color w:val="000000" w:themeColor="text1"/>
              </w:rPr>
            </w:pPr>
            <w:r>
              <w:rPr>
                <w:color w:val="000000" w:themeColor="text1"/>
              </w:rPr>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Sensor_293</w:t>
            </w:r>
            <w:r>
              <w:rPr>
                <w:color w:val="000000" w:themeColor="text1"/>
              </w:rPr>
            </w:r>
          </w:p>
        </w:tc>
        <w:tc>
          <w:tcPr>
            <w:tcBorders/>
            <w:tcW w:w="1500" w:type="dxa"/>
          </w:tcPr>
          <w:p>
            <w:pPr>
              <w:pBdr/>
              <w:spacing/>
              <w:ind/>
              <w:rPr>
                <w:color w:val="000000" w:themeColor="text1"/>
              </w:rPr>
            </w:pPr>
            <w:r>
              <w:rPr>
                <w:color w:val="000000" w:themeColor="text1"/>
              </w:rPr>
              <w:t xml:space="preserve">91.19%</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Sensor_294</w:t>
            </w:r>
            <w:r>
              <w:rPr>
                <w:color w:val="000000" w:themeColor="text1"/>
              </w:rPr>
            </w:r>
          </w:p>
        </w:tc>
        <w:tc>
          <w:tcPr>
            <w:tcBorders/>
            <w:tcW w:w="1500" w:type="dxa"/>
          </w:tcPr>
          <w:p>
            <w:pPr>
              <w:pBdr/>
              <w:spacing/>
              <w:ind/>
              <w:rPr>
                <w:color w:val="000000" w:themeColor="text1"/>
              </w:rPr>
            </w:pPr>
            <w:r>
              <w:rPr>
                <w:color w:val="000000" w:themeColor="text1"/>
              </w:rPr>
              <w:t xml:space="preserve">91.19%</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Sensor_159</w:t>
            </w:r>
            <w:r>
              <w:rPr>
                <w:color w:val="000000" w:themeColor="text1"/>
              </w:rPr>
            </w:r>
          </w:p>
        </w:tc>
        <w:tc>
          <w:tcPr>
            <w:tcBorders/>
            <w:tcW w:w="1500" w:type="dxa"/>
          </w:tcPr>
          <w:p>
            <w:pPr>
              <w:pBdr/>
              <w:spacing/>
              <w:ind/>
              <w:rPr>
                <w:color w:val="000000" w:themeColor="text1"/>
              </w:rPr>
            </w:pPr>
            <w:r>
              <w:rPr>
                <w:color w:val="000000" w:themeColor="text1"/>
              </w:rPr>
              <w:t xml:space="preserve">91.19%</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Sensor_158</w:t>
            </w:r>
            <w:r>
              <w:rPr>
                <w:color w:val="000000" w:themeColor="text1"/>
              </w:rPr>
            </w:r>
          </w:p>
        </w:tc>
        <w:tc>
          <w:tcPr>
            <w:tcBorders/>
            <w:tcW w:w="1500" w:type="dxa"/>
          </w:tcPr>
          <w:p>
            <w:pPr>
              <w:pBdr/>
              <w:spacing/>
              <w:ind/>
              <w:rPr>
                <w:color w:val="000000" w:themeColor="text1"/>
              </w:rPr>
            </w:pPr>
            <w:r>
              <w:rPr>
                <w:color w:val="000000" w:themeColor="text1"/>
              </w:rPr>
              <w:t xml:space="preserve">91.19%</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Sensor_493</w:t>
            </w:r>
            <w:r>
              <w:rPr>
                <w:color w:val="000000" w:themeColor="text1"/>
              </w:rPr>
            </w:r>
          </w:p>
        </w:tc>
        <w:tc>
          <w:tcPr>
            <w:tcBorders/>
            <w:tcW w:w="1500" w:type="dxa"/>
          </w:tcPr>
          <w:p>
            <w:pPr>
              <w:pBdr/>
              <w:spacing/>
              <w:ind/>
              <w:rPr>
                <w:color w:val="000000" w:themeColor="text1"/>
              </w:rPr>
            </w:pPr>
            <w:r>
              <w:rPr>
                <w:color w:val="000000" w:themeColor="text1"/>
              </w:rPr>
              <w:t xml:space="preserve">85.58%</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Sensor_86</w:t>
            </w:r>
            <w:r>
              <w:rPr>
                <w:color w:val="000000" w:themeColor="text1"/>
              </w:rPr>
            </w:r>
          </w:p>
        </w:tc>
        <w:tc>
          <w:tcPr>
            <w:tcBorders/>
            <w:tcW w:w="1500" w:type="dxa"/>
          </w:tcPr>
          <w:p>
            <w:pPr>
              <w:pBdr/>
              <w:spacing/>
              <w:ind/>
              <w:rPr>
                <w:color w:val="000000" w:themeColor="text1"/>
              </w:rPr>
            </w:pPr>
            <w:r>
              <w:rPr>
                <w:color w:val="000000" w:themeColor="text1"/>
              </w:rPr>
              <w:t xml:space="preserve">85.58%</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Sensor_359</w:t>
            </w:r>
            <w:r>
              <w:rPr>
                <w:color w:val="000000" w:themeColor="text1"/>
              </w:rPr>
            </w:r>
          </w:p>
        </w:tc>
        <w:tc>
          <w:tcPr>
            <w:tcBorders/>
            <w:tcW w:w="1500" w:type="dxa"/>
          </w:tcPr>
          <w:p>
            <w:pPr>
              <w:pBdr/>
              <w:spacing/>
              <w:ind/>
              <w:rPr>
                <w:color w:val="000000" w:themeColor="text1"/>
              </w:rPr>
            </w:pPr>
            <w:r>
              <w:rPr>
                <w:color w:val="000000" w:themeColor="text1"/>
              </w:rPr>
              <w:t xml:space="preserve">85.58%</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Sensor_221</w:t>
            </w:r>
            <w:r>
              <w:rPr>
                <w:color w:val="000000" w:themeColor="text1"/>
              </w:rPr>
            </w:r>
          </w:p>
        </w:tc>
        <w:tc>
          <w:tcPr>
            <w:tcBorders/>
            <w:tcW w:w="1500" w:type="dxa"/>
          </w:tcPr>
          <w:p>
            <w:pPr>
              <w:pBdr/>
              <w:spacing/>
              <w:ind/>
              <w:rPr>
                <w:color w:val="000000" w:themeColor="text1"/>
              </w:rPr>
            </w:pPr>
            <w:r>
              <w:rPr>
                <w:color w:val="000000" w:themeColor="text1"/>
              </w:rPr>
              <w:t xml:space="preserve">85.58%</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Sensor_245</w:t>
            </w:r>
            <w:r>
              <w:rPr>
                <w:color w:val="000000" w:themeColor="text1"/>
              </w:rPr>
            </w:r>
          </w:p>
        </w:tc>
        <w:tc>
          <w:tcPr>
            <w:tcBorders/>
            <w:tcW w:w="1500" w:type="dxa"/>
          </w:tcPr>
          <w:p>
            <w:pPr>
              <w:pBdr/>
              <w:spacing/>
              <w:ind/>
              <w:rPr>
                <w:color w:val="000000" w:themeColor="text1"/>
              </w:rPr>
            </w:pPr>
            <w:r>
              <w:rPr>
                <w:color w:val="000000" w:themeColor="text1"/>
              </w:rPr>
              <w:t xml:space="preserve">64.96%</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Sensor_518</w:t>
            </w:r>
            <w:r>
              <w:rPr>
                <w:color w:val="000000" w:themeColor="text1"/>
              </w:rPr>
            </w:r>
          </w:p>
        </w:tc>
        <w:tc>
          <w:tcPr>
            <w:tcBorders/>
            <w:tcW w:w="1500" w:type="dxa"/>
          </w:tcPr>
          <w:p>
            <w:pPr>
              <w:pBdr/>
              <w:spacing/>
              <w:ind/>
              <w:rPr>
                <w:color w:val="000000" w:themeColor="text1"/>
              </w:rPr>
            </w:pPr>
            <w:r>
              <w:rPr>
                <w:color w:val="000000" w:themeColor="text1"/>
              </w:rPr>
              <w:t xml:space="preserve">64.96%</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b/>
                <w:color w:val="000000" w:themeColor="text1"/>
              </w:rPr>
              <w:t xml:space="preserve">— Top 10 Features by |Correlation| with Target —</w:t>
            </w:r>
            <w:r>
              <w:rPr>
                <w:color w:val="000000" w:themeColor="text1"/>
              </w:rPr>
            </w:r>
          </w:p>
        </w:tc>
        <w:tc>
          <w:tcPr>
            <w:tcBorders/>
            <w:tcW w:w="1500" w:type="dxa"/>
          </w:tcPr>
          <w:p>
            <w:pPr>
              <w:pBdr/>
              <w:spacing/>
              <w:ind/>
              <w:rPr>
                <w:color w:val="000000" w:themeColor="text1"/>
              </w:rPr>
            </w:pPr>
            <w:r>
              <w:rPr>
                <w:color w:val="000000" w:themeColor="text1"/>
              </w:rPr>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Sensor_60</w:t>
            </w:r>
            <w:r>
              <w:rPr>
                <w:color w:val="000000" w:themeColor="text1"/>
              </w:rPr>
            </w:r>
          </w:p>
        </w:tc>
        <w:tc>
          <w:tcPr>
            <w:tcBorders/>
            <w:tcW w:w="1500" w:type="dxa"/>
          </w:tcPr>
          <w:p>
            <w:pPr>
              <w:pBdr/>
              <w:spacing/>
              <w:ind/>
              <w:rPr>
                <w:color w:val="000000" w:themeColor="text1"/>
              </w:rPr>
            </w:pPr>
            <w:r>
              <w:rPr>
                <w:color w:val="000000" w:themeColor="text1"/>
              </w:rPr>
              <w:t xml:space="preserve">0.1558</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Sensor_104</w:t>
            </w:r>
            <w:r>
              <w:rPr>
                <w:color w:val="000000" w:themeColor="text1"/>
              </w:rPr>
            </w:r>
          </w:p>
        </w:tc>
        <w:tc>
          <w:tcPr>
            <w:tcBorders/>
            <w:tcW w:w="1500" w:type="dxa"/>
          </w:tcPr>
          <w:p>
            <w:pPr>
              <w:pBdr/>
              <w:spacing/>
              <w:ind/>
              <w:rPr>
                <w:color w:val="000000" w:themeColor="text1"/>
              </w:rPr>
            </w:pPr>
            <w:r>
              <w:rPr>
                <w:color w:val="000000" w:themeColor="text1"/>
              </w:rPr>
              <w:t xml:space="preserve">0.1512</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Sensor_511</w:t>
            </w:r>
            <w:r>
              <w:rPr>
                <w:color w:val="000000" w:themeColor="text1"/>
              </w:rPr>
            </w:r>
          </w:p>
        </w:tc>
        <w:tc>
          <w:tcPr>
            <w:tcBorders/>
            <w:tcW w:w="1500" w:type="dxa"/>
          </w:tcPr>
          <w:p>
            <w:pPr>
              <w:pBdr/>
              <w:spacing/>
              <w:ind/>
              <w:rPr>
                <w:color w:val="000000" w:themeColor="text1"/>
              </w:rPr>
            </w:pPr>
            <w:r>
              <w:rPr>
                <w:color w:val="000000" w:themeColor="text1"/>
              </w:rPr>
              <w:t xml:space="preserve">0.1316</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Sensor_349</w:t>
            </w:r>
            <w:r>
              <w:rPr>
                <w:color w:val="000000" w:themeColor="text1"/>
              </w:rPr>
            </w:r>
          </w:p>
        </w:tc>
        <w:tc>
          <w:tcPr>
            <w:tcBorders/>
            <w:tcW w:w="1500" w:type="dxa"/>
          </w:tcPr>
          <w:p>
            <w:pPr>
              <w:pBdr/>
              <w:spacing/>
              <w:ind/>
              <w:rPr>
                <w:color w:val="000000" w:themeColor="text1"/>
              </w:rPr>
            </w:pPr>
            <w:r>
              <w:rPr>
                <w:color w:val="000000" w:themeColor="text1"/>
              </w:rPr>
              <w:t xml:space="preserve">0.1302</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Sensor_159</w:t>
            </w:r>
            <w:r>
              <w:rPr>
                <w:color w:val="000000" w:themeColor="text1"/>
              </w:rPr>
            </w:r>
          </w:p>
        </w:tc>
        <w:tc>
          <w:tcPr>
            <w:tcBorders/>
            <w:tcW w:w="1500" w:type="dxa"/>
          </w:tcPr>
          <w:p>
            <w:pPr>
              <w:pBdr/>
              <w:spacing/>
              <w:ind/>
              <w:rPr>
                <w:color w:val="000000" w:themeColor="text1"/>
              </w:rPr>
            </w:pPr>
            <w:r>
              <w:rPr>
                <w:color w:val="000000" w:themeColor="text1"/>
              </w:rPr>
              <w:t xml:space="preserve">0.1213</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Sensor_432</w:t>
            </w:r>
            <w:r>
              <w:rPr>
                <w:color w:val="000000" w:themeColor="text1"/>
              </w:rPr>
            </w:r>
          </w:p>
        </w:tc>
        <w:tc>
          <w:tcPr>
            <w:tcBorders/>
            <w:tcW w:w="1500" w:type="dxa"/>
          </w:tcPr>
          <w:p>
            <w:pPr>
              <w:pBdr/>
              <w:spacing/>
              <w:ind/>
              <w:rPr>
                <w:color w:val="000000" w:themeColor="text1"/>
              </w:rPr>
            </w:pPr>
            <w:r>
              <w:rPr>
                <w:color w:val="000000" w:themeColor="text1"/>
              </w:rPr>
              <w:t xml:space="preserve">0.1209</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Sensor_294</w:t>
            </w:r>
            <w:r>
              <w:rPr>
                <w:color w:val="000000" w:themeColor="text1"/>
              </w:rPr>
            </w:r>
          </w:p>
        </w:tc>
        <w:tc>
          <w:tcPr>
            <w:tcBorders/>
            <w:tcW w:w="1500" w:type="dxa"/>
          </w:tcPr>
          <w:p>
            <w:pPr>
              <w:pBdr/>
              <w:spacing/>
              <w:ind/>
              <w:rPr>
                <w:color w:val="000000" w:themeColor="text1"/>
              </w:rPr>
            </w:pPr>
            <w:r>
              <w:rPr>
                <w:color w:val="000000" w:themeColor="text1"/>
              </w:rPr>
              <w:t xml:space="preserve">0.1145</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Sensor_112</w:t>
            </w:r>
            <w:r>
              <w:rPr>
                <w:color w:val="000000" w:themeColor="text1"/>
              </w:rPr>
            </w:r>
          </w:p>
        </w:tc>
        <w:tc>
          <w:tcPr>
            <w:tcBorders/>
            <w:tcW w:w="1500" w:type="dxa"/>
          </w:tcPr>
          <w:p>
            <w:pPr>
              <w:pBdr/>
              <w:spacing/>
              <w:ind/>
              <w:rPr>
                <w:color w:val="000000" w:themeColor="text1"/>
              </w:rPr>
            </w:pPr>
            <w:r>
              <w:rPr>
                <w:color w:val="000000" w:themeColor="text1"/>
              </w:rPr>
              <w:t xml:space="preserve">0.1140</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Sensor_435</w:t>
            </w:r>
            <w:r>
              <w:rPr>
                <w:color w:val="000000" w:themeColor="text1"/>
              </w:rPr>
            </w:r>
          </w:p>
        </w:tc>
        <w:tc>
          <w:tcPr>
            <w:tcBorders/>
            <w:tcW w:w="1500" w:type="dxa"/>
          </w:tcPr>
          <w:p>
            <w:pPr>
              <w:pBdr/>
              <w:spacing/>
              <w:ind/>
              <w:rPr>
                <w:color w:val="000000" w:themeColor="text1"/>
              </w:rPr>
            </w:pPr>
            <w:r>
              <w:rPr>
                <w:color w:val="000000" w:themeColor="text1"/>
              </w:rPr>
              <w:t xml:space="preserve">0.1121</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r>
        <w:trPr/>
        <w:tc>
          <w:tcPr>
            <w:tcBorders/>
            <w:tcW w:w="2600" w:type="dxa"/>
          </w:tcPr>
          <w:p>
            <w:pPr>
              <w:pBdr/>
              <w:spacing/>
              <w:ind/>
              <w:rPr>
                <w:color w:val="000000" w:themeColor="text1"/>
              </w:rPr>
            </w:pPr>
            <w:r>
              <w:rPr>
                <w:color w:val="000000" w:themeColor="text1"/>
              </w:rPr>
              <w:t xml:space="preserve">Sensor_431</w:t>
            </w:r>
            <w:r>
              <w:rPr>
                <w:color w:val="000000" w:themeColor="text1"/>
              </w:rPr>
            </w:r>
          </w:p>
        </w:tc>
        <w:tc>
          <w:tcPr>
            <w:tcBorders/>
            <w:tcW w:w="1500" w:type="dxa"/>
          </w:tcPr>
          <w:p>
            <w:pPr>
              <w:pBdr/>
              <w:spacing/>
              <w:ind/>
              <w:rPr>
                <w:color w:val="000000" w:themeColor="text1"/>
              </w:rPr>
            </w:pPr>
            <w:r>
              <w:rPr>
                <w:color w:val="000000" w:themeColor="text1"/>
              </w:rPr>
              <w:t xml:space="preserve">0.1101</w:t>
            </w:r>
            <w:r>
              <w:rPr>
                <w:color w:val="000000" w:themeColor="text1"/>
              </w:rPr>
            </w:r>
          </w:p>
        </w:tc>
        <w:tc>
          <w:tcPr>
            <w:tcBorders/>
            <w:tcW w:w="1900" w:type="dxa"/>
          </w:tcPr>
          <w:p>
            <w:pPr>
              <w:pBdr/>
              <w:spacing/>
              <w:ind/>
              <w:rPr>
                <w:color w:val="000000" w:themeColor="text1"/>
              </w:rPr>
            </w:pPr>
            <w:r>
              <w:rPr>
                <w:color w:val="000000" w:themeColor="text1"/>
              </w:rPr>
            </w:r>
            <w:r>
              <w:rPr>
                <w:color w:val="000000" w:themeColor="text1"/>
              </w:rPr>
            </w:r>
          </w:p>
        </w:tc>
        <w:tc>
          <w:tcPr>
            <w:tcBorders/>
            <w:tcW w:w="4000" w:type="dxa"/>
          </w:tcPr>
          <w:p>
            <w:pPr>
              <w:pBdr/>
              <w:spacing/>
              <w:ind/>
              <w:rPr>
                <w:color w:val="000000" w:themeColor="text1"/>
              </w:rPr>
            </w:pPr>
            <w:r>
              <w:rPr>
                <w:color w:val="000000" w:themeColor="text1"/>
              </w:rPr>
            </w:r>
            <w:r>
              <w:rPr>
                <w:color w:val="000000" w:themeColor="text1"/>
              </w:rPr>
            </w:r>
          </w:p>
        </w:tc>
      </w:tr>
    </w:tbl>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Note on screening thresholds: the 40% miss</w:t>
      </w:r>
      <w:r>
        <w:rPr>
          <w:rFonts w:ascii="Times New Roman" w:hAnsi="Times New Roman" w:eastAsia="Times New Roman" w:cs="Times New Roman"/>
          <w:color w:val="000000" w:themeColor="text1"/>
          <w:sz w:val="24"/>
          <w:szCs w:val="24"/>
        </w:rPr>
        <w:t xml:space="preserve">ingness cutoff and 1e-6 near-zero-variance cutoff are the defaults set in src/preprocessing.py and used consistently across the pipeline; both are adjustable, and any change should be re-run and re-reported here rather than left inconsistent with the code.</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Open access:</w:t>
      </w:r>
      <w:r>
        <w:rPr>
          <w:rFonts w:ascii="Times New Roman" w:hAnsi="Times New Roman" w:eastAsia="Times New Roman" w:cs="Times New Roman"/>
          <w:color w:val="000000" w:themeColor="text1"/>
          <w:sz w:val="24"/>
          <w:szCs w:val="24"/>
        </w:rPr>
        <w:t xml:space="preserve"> the project repository is public at https://github.com/WJPsystems/secom-explainable-vm/tree/main, containing the complete data-fetching pipeline, all screening/modeling/explainability code, the finalized data dictionary template, and -- as of this draft -</w:t>
      </w:r>
      <w:r>
        <w:rPr>
          <w:rFonts w:ascii="Times New Roman" w:hAnsi="Times New Roman" w:eastAsia="Times New Roman" w:cs="Times New Roman"/>
          <w:color w:val="000000" w:themeColor="text1"/>
          <w:sz w:val="24"/>
          <w:szCs w:val="24"/>
        </w:rPr>
        <w:t xml:space="preserve">- the actual generated data and artifacts, not just the code that produces them: raw SECOM data (data/raw/), the screened train/test split (data/model_ready/), and every saved model, holdout split, and results summary from RQ1-RQ3 (data/artifacts/), alongs</w:t>
      </w:r>
      <w:r>
        <w:rPr>
          <w:rFonts w:ascii="Times New Roman" w:hAnsi="Times New Roman" w:eastAsia="Times New Roman" w:cs="Times New Roman"/>
          <w:color w:val="000000" w:themeColor="text1"/>
          <w:sz w:val="24"/>
          <w:szCs w:val="24"/>
        </w:rPr>
        <w:t xml:space="preserve">ide full HTML exports of every notebook's real run (docs/all_notebook_exports/). Each data/ subfolder's PLACEHOLDER.md file documents what the folder holds; real content now sits alongside it. The repository's current folder structure is shown in Figure 1.</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Figure 1</w:t>
      </w:r>
      <w:r>
        <w:rPr>
          <w:color w:val="000000" w:themeColor="text1"/>
        </w:rPr>
      </w:r>
    </w:p>
    <w:p>
      <w:pPr>
        <w:pBdr/>
        <w:spacing w:line="480" w:lineRule="auto"/>
        <w:ind/>
        <w:jc w:val="both"/>
        <w:rPr>
          <w:color w:val="000000" w:themeColor="text1"/>
          <w:highlight w:val="yellow"/>
        </w:rPr>
      </w:pPr>
      <w:r>
        <w:rPr>
          <w:rFonts w:ascii="Times New Roman" w:hAnsi="Times New Roman" w:eastAsia="Times New Roman" w:cs="Times New Roman"/>
          <w:i/>
          <w:iCs/>
          <w:color w:val="000000" w:themeColor="text1"/>
          <w:sz w:val="24"/>
          <w:szCs w:val="24"/>
          <w:highlight w:val="yellow"/>
        </w:rPr>
        <w:t xml:space="preserve">GitHub Repository Folder Structure</w:t>
      </w:r>
      <w:r>
        <w:rPr>
          <w:color w:val="000000" w:themeColor="text1"/>
          <w:highlight w:val="yellow"/>
        </w:rPr>
      </w:r>
    </w:p>
    <w:tbl>
      <w:tblPr>
        <w:tblW w:w="1000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2f2f2"/>
            <w:tcBorders/>
            <w:tcW w:w="10000" w:type="dxa"/>
          </w:tcPr>
          <w:p>
            <w:pPr>
              <w:pBdr/>
              <w:spacing w:line="240" w:lineRule="auto"/>
              <w:ind/>
              <w:rPr>
                <w:color w:val="000000" w:themeColor="text1"/>
              </w:rPr>
            </w:pPr>
            <w:r>
              <w:rPr>
                <w:rFonts w:ascii="Courier New" w:hAnsi="Courier New" w:eastAsia="Courier New" w:cs="Courier New"/>
                <w:color w:val="000000" w:themeColor="text1"/>
                <w:sz w:val="18"/>
                <w:szCs w:val="18"/>
              </w:rPr>
              <w:t xml:space="preserve">secom-explainable-vm/</w:t>
            </w:r>
            <w:r>
              <w:rPr>
                <w:color w:val="000000" w:themeColor="text1"/>
              </w:rPr>
            </w:r>
          </w:p>
          <w:p>
            <w:pPr>
              <w:pBdr/>
              <w:spacing/>
              <w:ind/>
              <w:rPr>
                <w:color w:val="000000" w:themeColor="text1"/>
              </w:rPr>
            </w:pPr>
            <w:r>
              <w:rPr>
                <w:rFonts w:ascii="Courier New" w:hAnsi="Courier New"/>
                <w:color w:val="000000" w:themeColor="text1"/>
                <w:sz w:val="18"/>
              </w:rPr>
              <w:t xml:space="preserve">├── .gitignore</w:t>
            </w:r>
            <w:r>
              <w:rPr>
                <w:color w:val="000000" w:themeColor="text1"/>
              </w:rPr>
            </w:r>
          </w:p>
          <w:p>
            <w:pPr>
              <w:pBdr/>
              <w:spacing/>
              <w:ind/>
              <w:rPr>
                <w:color w:val="000000" w:themeColor="text1"/>
              </w:rPr>
            </w:pPr>
            <w:r>
              <w:rPr>
                <w:rFonts w:ascii="Courier New" w:hAnsi="Courier New"/>
                <w:color w:val="000000" w:themeColor="text1"/>
                <w:sz w:val="18"/>
              </w:rPr>
              <w:t xml:space="preserve">├── CHANGELOG.md</w:t>
            </w:r>
            <w:r>
              <w:rPr>
                <w:color w:val="000000" w:themeColor="text1"/>
              </w:rPr>
            </w:r>
          </w:p>
          <w:p>
            <w:pPr>
              <w:pBdr/>
              <w:spacing/>
              <w:ind/>
              <w:rPr>
                <w:color w:val="000000" w:themeColor="text1"/>
              </w:rPr>
            </w:pPr>
            <w:r>
              <w:rPr>
                <w:rFonts w:ascii="Courier New" w:hAnsi="Courier New"/>
                <w:color w:val="000000" w:themeColor="text1"/>
                <w:sz w:val="18"/>
              </w:rPr>
              <w:t xml:space="preserve">├── README.md</w:t>
            </w:r>
            <w:r>
              <w:rPr>
                <w:color w:val="000000" w:themeColor="text1"/>
              </w:rPr>
            </w:r>
          </w:p>
          <w:p>
            <w:pPr>
              <w:pBdr/>
              <w:spacing/>
              <w:ind/>
              <w:rPr>
                <w:color w:val="000000" w:themeColor="text1"/>
              </w:rPr>
            </w:pPr>
            <w:r>
              <w:rPr>
                <w:rFonts w:ascii="Courier New" w:hAnsi="Courier New"/>
                <w:color w:val="000000" w:themeColor="text1"/>
                <w:sz w:val="18"/>
              </w:rPr>
              <w:t xml:space="preserve">├── requirements.txt</w:t>
            </w:r>
            <w:r>
              <w:rPr>
                <w:color w:val="000000" w:themeColor="text1"/>
              </w:rPr>
            </w:r>
          </w:p>
          <w:p>
            <w:pPr>
              <w:pBdr/>
              <w:spacing/>
              <w:ind/>
              <w:rPr>
                <w:color w:val="000000" w:themeColor="text1"/>
              </w:rPr>
            </w:pPr>
            <w:r>
              <w:rPr>
                <w:rFonts w:ascii="Courier New" w:hAnsi="Courier New"/>
                <w:color w:val="000000" w:themeColor="text1"/>
                <w:sz w:val="18"/>
              </w:rPr>
              <w:t xml:space="preserve">├── data</w:t>
            </w:r>
            <w:r>
              <w:rPr>
                <w:color w:val="000000" w:themeColor="text1"/>
              </w:rPr>
            </w:r>
          </w:p>
          <w:p>
            <w:pPr>
              <w:pBdr/>
              <w:spacing/>
              <w:ind/>
              <w:rPr>
                <w:color w:val="000000" w:themeColor="text1"/>
              </w:rPr>
            </w:pPr>
            <w:r>
              <w:rPr>
                <w:rFonts w:ascii="Courier New" w:hAnsi="Courier New"/>
                <w:color w:val="000000" w:themeColor="text1"/>
                <w:sz w:val="18"/>
              </w:rPr>
              <w:t xml:space="preserve">│   ├── artifacts</w:t>
            </w:r>
            <w:r>
              <w:rPr>
                <w:color w:val="000000" w:themeColor="text1"/>
              </w:rPr>
            </w:r>
          </w:p>
          <w:p>
            <w:pPr>
              <w:pBdr/>
              <w:spacing/>
              <w:ind/>
              <w:rPr>
                <w:color w:val="000000" w:themeColor="text1"/>
              </w:rPr>
            </w:pPr>
            <w:r>
              <w:rPr>
                <w:rFonts w:ascii="Courier New" w:hAnsi="Courier New"/>
                <w:color w:val="000000" w:themeColor="text1"/>
                <w:sz w:val="18"/>
              </w:rPr>
              <w:t xml:space="preserve">│   │   ├── PLACEHOLDER.md</w:t>
            </w:r>
            <w:r>
              <w:rPr>
                <w:color w:val="000000" w:themeColor="text1"/>
              </w:rPr>
            </w:r>
          </w:p>
          <w:p>
            <w:pPr>
              <w:pBdr/>
              <w:spacing/>
              <w:ind/>
              <w:rPr>
                <w:color w:val="000000" w:themeColor="text1"/>
              </w:rPr>
            </w:pPr>
            <w:r>
              <w:rPr>
                <w:rFonts w:ascii="Courier New" w:hAnsi="Courier New"/>
                <w:color w:val="000000" w:themeColor="text1"/>
                <w:sz w:val="18"/>
              </w:rPr>
              <w:t xml:space="preserve">│   │   ├── rq1_best_tree.joblib</w:t>
            </w:r>
            <w:r>
              <w:rPr>
                <w:color w:val="000000" w:themeColor="text1"/>
              </w:rPr>
            </w:r>
          </w:p>
          <w:p>
            <w:pPr>
              <w:pBdr/>
              <w:spacing/>
              <w:ind/>
              <w:rPr>
                <w:color w:val="000000" w:themeColor="text1"/>
              </w:rPr>
            </w:pPr>
            <w:r>
              <w:rPr>
                <w:rFonts w:ascii="Courier New" w:hAnsi="Courier New"/>
                <w:color w:val="000000" w:themeColor="text1"/>
                <w:sz w:val="18"/>
              </w:rPr>
              <w:t xml:space="preserve">│   │   ├── rq1_best_tree_holdout.joblib</w:t>
            </w:r>
            <w:r>
              <w:rPr>
                <w:color w:val="000000" w:themeColor="text1"/>
              </w:rPr>
            </w:r>
          </w:p>
          <w:p>
            <w:pPr>
              <w:pBdr/>
              <w:spacing/>
              <w:ind/>
              <w:rPr>
                <w:color w:val="000000" w:themeColor="text1"/>
              </w:rPr>
            </w:pPr>
            <w:r>
              <w:rPr>
                <w:rFonts w:ascii="Courier New" w:hAnsi="Courier New"/>
                <w:color w:val="000000" w:themeColor="text1"/>
                <w:sz w:val="18"/>
              </w:rPr>
              <w:t xml:space="preserve">│   │   ├── rq1_holdout_split.json</w:t>
            </w:r>
            <w:r>
              <w:rPr>
                <w:color w:val="000000" w:themeColor="text1"/>
              </w:rPr>
            </w:r>
          </w:p>
          <w:p>
            <w:pPr>
              <w:pBdr/>
              <w:spacing/>
              <w:ind/>
              <w:rPr>
                <w:color w:val="000000" w:themeColor="text1"/>
              </w:rPr>
            </w:pPr>
            <w:r>
              <w:rPr>
                <w:rFonts w:ascii="Courier New" w:hAnsi="Courier New"/>
                <w:color w:val="000000" w:themeColor="text1"/>
                <w:sz w:val="18"/>
              </w:rPr>
              <w:t xml:space="preserve">│   │   ├── rq1_oof_probs.json</w:t>
            </w:r>
            <w:r>
              <w:rPr>
                <w:color w:val="000000" w:themeColor="text1"/>
              </w:rPr>
            </w:r>
          </w:p>
          <w:p>
            <w:pPr>
              <w:pBdr/>
              <w:spacing/>
              <w:ind/>
              <w:rPr>
                <w:color w:val="000000" w:themeColor="text1"/>
              </w:rPr>
            </w:pPr>
            <w:r>
              <w:rPr>
                <w:rFonts w:ascii="Courier New" w:hAnsi="Courier New"/>
                <w:color w:val="000000" w:themeColor="text1"/>
                <w:sz w:val="18"/>
              </w:rPr>
              <w:t xml:space="preserve">│   │   ├── rq1_summary.json</w:t>
            </w:r>
            <w:r>
              <w:rPr>
                <w:color w:val="000000" w:themeColor="text1"/>
              </w:rPr>
            </w:r>
          </w:p>
          <w:p>
            <w:pPr>
              <w:pBdr/>
              <w:spacing/>
              <w:ind/>
              <w:rPr>
                <w:color w:val="000000" w:themeColor="text1"/>
              </w:rPr>
            </w:pPr>
            <w:r>
              <w:rPr>
                <w:rFonts w:ascii="Courier New" w:hAnsi="Courier New"/>
                <w:color w:val="000000" w:themeColor="text1"/>
                <w:sz w:val="18"/>
              </w:rPr>
              <w:t xml:space="preserve">│   │   └── rq3_summary.json</w:t>
            </w:r>
            <w:r>
              <w:rPr>
                <w:color w:val="000000" w:themeColor="text1"/>
              </w:rPr>
            </w:r>
          </w:p>
          <w:p>
            <w:pPr>
              <w:pBdr/>
              <w:spacing/>
              <w:ind/>
              <w:rPr>
                <w:color w:val="000000" w:themeColor="text1"/>
              </w:rPr>
            </w:pPr>
            <w:r>
              <w:rPr>
                <w:rFonts w:ascii="Courier New" w:hAnsi="Courier New"/>
                <w:color w:val="000000" w:themeColor="text1"/>
                <w:sz w:val="18"/>
              </w:rPr>
              <w:t xml:space="preserve">│   ├── model_ready</w:t>
            </w:r>
            <w:r>
              <w:rPr>
                <w:color w:val="000000" w:themeColor="text1"/>
              </w:rPr>
            </w:r>
          </w:p>
          <w:p>
            <w:pPr>
              <w:pBdr/>
              <w:spacing/>
              <w:ind/>
              <w:rPr>
                <w:color w:val="000000" w:themeColor="text1"/>
              </w:rPr>
            </w:pPr>
            <w:r>
              <w:rPr>
                <w:rFonts w:ascii="Courier New" w:hAnsi="Courier New"/>
                <w:color w:val="000000" w:themeColor="text1"/>
                <w:sz w:val="18"/>
              </w:rPr>
              <w:t xml:space="preserve">│   │   ├── PLACEHOLDER.md</w:t>
            </w:r>
            <w:r>
              <w:rPr>
                <w:color w:val="000000" w:themeColor="text1"/>
              </w:rPr>
            </w:r>
          </w:p>
          <w:p>
            <w:pPr>
              <w:pBdr/>
              <w:spacing/>
              <w:ind/>
              <w:rPr>
                <w:color w:val="000000" w:themeColor="text1"/>
              </w:rPr>
            </w:pPr>
            <w:r>
              <w:rPr>
                <w:rFonts w:ascii="Courier New" w:hAnsi="Courier New"/>
                <w:color w:val="000000" w:themeColor="text1"/>
                <w:sz w:val="18"/>
              </w:rPr>
              <w:t xml:space="preserve">│   │   ├── X_test.csv</w:t>
            </w:r>
            <w:r>
              <w:rPr>
                <w:color w:val="000000" w:themeColor="text1"/>
              </w:rPr>
            </w:r>
          </w:p>
          <w:p>
            <w:pPr>
              <w:pBdr/>
              <w:spacing/>
              <w:ind/>
              <w:rPr>
                <w:color w:val="000000" w:themeColor="text1"/>
              </w:rPr>
            </w:pPr>
            <w:r>
              <w:rPr>
                <w:rFonts w:ascii="Courier New" w:hAnsi="Courier New"/>
                <w:color w:val="000000" w:themeColor="text1"/>
                <w:sz w:val="18"/>
              </w:rPr>
              <w:t xml:space="preserve">│   │   ├── X_train.csv</w:t>
            </w:r>
            <w:r>
              <w:rPr>
                <w:color w:val="000000" w:themeColor="text1"/>
              </w:rPr>
            </w:r>
          </w:p>
          <w:p>
            <w:pPr>
              <w:pBdr/>
              <w:spacing/>
              <w:ind/>
              <w:rPr>
                <w:color w:val="000000" w:themeColor="text1"/>
              </w:rPr>
            </w:pPr>
            <w:r>
              <w:rPr>
                <w:rFonts w:ascii="Courier New" w:hAnsi="Courier New"/>
                <w:color w:val="000000" w:themeColor="text1"/>
                <w:sz w:val="18"/>
              </w:rPr>
              <w:t xml:space="preserve">│   │   ├── y_test.csv</w:t>
            </w:r>
            <w:r>
              <w:rPr>
                <w:color w:val="000000" w:themeColor="text1"/>
              </w:rPr>
            </w:r>
          </w:p>
          <w:p>
            <w:pPr>
              <w:pBdr/>
              <w:spacing/>
              <w:ind/>
              <w:rPr>
                <w:color w:val="000000" w:themeColor="text1"/>
              </w:rPr>
            </w:pPr>
            <w:r>
              <w:rPr>
                <w:rFonts w:ascii="Courier New" w:hAnsi="Courier New"/>
                <w:color w:val="000000" w:themeColor="text1"/>
                <w:sz w:val="18"/>
              </w:rPr>
              <w:t xml:space="preserve">│   │   └── y_train.csv</w:t>
            </w:r>
            <w:r>
              <w:rPr>
                <w:color w:val="000000" w:themeColor="text1"/>
              </w:rPr>
            </w:r>
          </w:p>
          <w:p>
            <w:pPr>
              <w:pBdr/>
              <w:spacing/>
              <w:ind/>
              <w:rPr>
                <w:color w:val="000000" w:themeColor="text1"/>
              </w:rPr>
            </w:pPr>
            <w:r>
              <w:rPr>
                <w:rFonts w:ascii="Courier New" w:hAnsi="Courier New"/>
                <w:color w:val="000000" w:themeColor="text1"/>
                <w:sz w:val="18"/>
              </w:rPr>
              <w:t xml:space="preserve">│   └── raw</w:t>
            </w:r>
            <w:r>
              <w:rPr>
                <w:color w:val="000000" w:themeColor="text1"/>
              </w:rPr>
            </w:r>
          </w:p>
          <w:p>
            <w:pPr>
              <w:pBdr/>
              <w:spacing/>
              <w:ind/>
              <w:rPr>
                <w:color w:val="000000" w:themeColor="text1"/>
              </w:rPr>
            </w:pPr>
            <w:r>
              <w:rPr>
                <w:rFonts w:ascii="Courier New" w:hAnsi="Courier New"/>
                <w:color w:val="000000" w:themeColor="text1"/>
                <w:sz w:val="18"/>
              </w:rPr>
              <w:t xml:space="preserve">│       ├── PLACEHOLDER.md</w:t>
            </w:r>
            <w:r>
              <w:rPr>
                <w:color w:val="000000" w:themeColor="text1"/>
              </w:rPr>
            </w:r>
          </w:p>
          <w:p>
            <w:pPr>
              <w:pBdr/>
              <w:spacing/>
              <w:ind/>
              <w:rPr>
                <w:color w:val="000000" w:themeColor="text1"/>
              </w:rPr>
            </w:pPr>
            <w:r>
              <w:rPr>
                <w:rFonts w:ascii="Courier New" w:hAnsi="Courier New"/>
                <w:color w:val="000000" w:themeColor="text1"/>
                <w:sz w:val="18"/>
              </w:rPr>
              <w:t xml:space="preserve">│       ├── secom_features.csv</w:t>
            </w:r>
            <w:r>
              <w:rPr>
                <w:color w:val="000000" w:themeColor="text1"/>
              </w:rPr>
            </w:r>
          </w:p>
          <w:p>
            <w:pPr>
              <w:pBdr/>
              <w:spacing/>
              <w:ind/>
              <w:rPr>
                <w:color w:val="000000" w:themeColor="text1"/>
              </w:rPr>
            </w:pPr>
            <w:r>
              <w:rPr>
                <w:rFonts w:ascii="Courier New" w:hAnsi="Courier New"/>
                <w:color w:val="000000" w:themeColor="text1"/>
                <w:sz w:val="18"/>
              </w:rPr>
              <w:t xml:space="preserve">│       └── secom_labels.csv</w:t>
            </w:r>
            <w:r>
              <w:rPr>
                <w:color w:val="000000" w:themeColor="text1"/>
              </w:rPr>
            </w:r>
          </w:p>
          <w:p>
            <w:pPr>
              <w:pBdr/>
              <w:spacing/>
              <w:ind/>
              <w:rPr>
                <w:color w:val="000000" w:themeColor="text1"/>
              </w:rPr>
            </w:pPr>
            <w:r>
              <w:rPr>
                <w:rFonts w:ascii="Courier New" w:hAnsi="Courier New"/>
                <w:color w:val="000000" w:themeColor="text1"/>
                <w:sz w:val="18"/>
              </w:rPr>
              <w:t xml:space="preserve">├── docs</w:t>
            </w:r>
            <w:r>
              <w:rPr>
                <w:color w:val="000000" w:themeColor="text1"/>
              </w:rPr>
            </w:r>
          </w:p>
          <w:p>
            <w:pPr>
              <w:pBdr/>
              <w:spacing/>
              <w:ind/>
              <w:rPr>
                <w:color w:val="000000" w:themeColor="text1"/>
              </w:rPr>
            </w:pPr>
            <w:r>
              <w:rPr>
                <w:rFonts w:ascii="Courier New" w:hAnsi="Courier New"/>
                <w:color w:val="000000" w:themeColor="text1"/>
                <w:sz w:val="18"/>
              </w:rPr>
              <w:t xml:space="preserve">│   ├── all_notebook_exports</w:t>
            </w:r>
            <w:r>
              <w:rPr>
                <w:color w:val="000000" w:themeColor="text1"/>
              </w:rPr>
            </w:r>
          </w:p>
          <w:p>
            <w:pPr>
              <w:pBdr/>
              <w:spacing/>
              <w:ind/>
              <w:rPr>
                <w:color w:val="000000" w:themeColor="text1"/>
              </w:rPr>
            </w:pPr>
            <w:r>
              <w:rPr>
                <w:rFonts w:ascii="Courier New" w:hAnsi="Courier New"/>
                <w:color w:val="000000" w:themeColor="text1"/>
                <w:sz w:val="18"/>
              </w:rPr>
              <w:t xml:space="preserve">│   │   ├── 01_data_screening.html</w:t>
            </w:r>
            <w:r>
              <w:rPr>
                <w:color w:val="000000" w:themeColor="text1"/>
              </w:rPr>
            </w:r>
          </w:p>
          <w:p>
            <w:pPr>
              <w:pBdr/>
              <w:spacing/>
              <w:ind/>
              <w:rPr>
                <w:color w:val="000000" w:themeColor="text1"/>
              </w:rPr>
            </w:pPr>
            <w:r>
              <w:rPr>
                <w:rFonts w:ascii="Courier New" w:hAnsi="Courier New"/>
                <w:color w:val="000000" w:themeColor="text1"/>
                <w:sz w:val="18"/>
              </w:rPr>
              <w:t xml:space="preserve">│   │   ├── 02_modeling_rq1.html</w:t>
            </w:r>
            <w:r>
              <w:rPr>
                <w:color w:val="000000" w:themeColor="text1"/>
              </w:rPr>
            </w:r>
          </w:p>
          <w:p>
            <w:pPr>
              <w:pBdr/>
              <w:spacing/>
              <w:ind/>
              <w:rPr>
                <w:color w:val="000000" w:themeColor="text1"/>
              </w:rPr>
            </w:pPr>
            <w:r>
              <w:rPr>
                <w:rFonts w:ascii="Courier New" w:hAnsi="Courier New"/>
                <w:color w:val="000000" w:themeColor="text1"/>
                <w:sz w:val="18"/>
              </w:rPr>
              <w:t xml:space="preserve">│   │   ├── 03_shap_analysis_rq2.html</w:t>
            </w:r>
            <w:r>
              <w:rPr>
                <w:color w:val="000000" w:themeColor="text1"/>
              </w:rPr>
            </w:r>
          </w:p>
          <w:p>
            <w:pPr>
              <w:pBdr/>
              <w:spacing/>
              <w:ind/>
              <w:rPr>
                <w:color w:val="000000" w:themeColor="text1"/>
              </w:rPr>
            </w:pPr>
            <w:r>
              <w:rPr>
                <w:rFonts w:ascii="Courier New" w:hAnsi="Courier New"/>
                <w:color w:val="000000" w:themeColor="text1"/>
                <w:sz w:val="18"/>
              </w:rPr>
              <w:t xml:space="preserve">│   │   ├── 04_feature_reduction_rq3.html</w:t>
            </w:r>
            <w:r>
              <w:rPr>
                <w:color w:val="000000" w:themeColor="text1"/>
              </w:rPr>
            </w:r>
          </w:p>
          <w:p>
            <w:pPr>
              <w:pBdr/>
              <w:spacing/>
              <w:ind/>
              <w:rPr>
                <w:color w:val="000000" w:themeColor="text1"/>
              </w:rPr>
            </w:pPr>
            <w:r>
              <w:rPr>
                <w:rFonts w:ascii="Courier New" w:hAnsi="Courier New"/>
                <w:color w:val="000000" w:themeColor="text1"/>
                <w:sz w:val="18"/>
              </w:rPr>
              <w:t xml:space="preserve">│   │   ├── 05_attention_comparison_rq4.html</w:t>
            </w:r>
            <w:r>
              <w:rPr>
                <w:color w:val="000000" w:themeColor="text1"/>
              </w:rPr>
            </w:r>
          </w:p>
          <w:p>
            <w:pPr>
              <w:pBdr/>
              <w:spacing/>
              <w:ind/>
              <w:rPr>
                <w:color w:val="000000" w:themeColor="text1"/>
              </w:rPr>
            </w:pPr>
            <w:r>
              <w:rPr>
                <w:rFonts w:ascii="Courier New" w:hAnsi="Courier New"/>
                <w:color w:val="000000" w:themeColor="text1"/>
                <w:sz w:val="18"/>
              </w:rPr>
              <w:t xml:space="preserve">│   │   └── 06_anomaly_safety_net.html</w:t>
            </w:r>
            <w:r>
              <w:rPr>
                <w:color w:val="000000" w:themeColor="text1"/>
              </w:rPr>
            </w:r>
          </w:p>
          <w:p>
            <w:pPr>
              <w:pBdr/>
              <w:spacing/>
              <w:ind/>
              <w:rPr>
                <w:color w:val="000000" w:themeColor="text1"/>
              </w:rPr>
            </w:pPr>
            <w:r>
              <w:rPr>
                <w:rFonts w:ascii="Courier New" w:hAnsi="Courier New"/>
                <w:color w:val="000000" w:themeColor="text1"/>
                <w:sz w:val="18"/>
              </w:rPr>
              <w:t xml:space="preserve">│   ├── data_dictionary_template.csv</w:t>
            </w:r>
            <w:r>
              <w:rPr>
                <w:color w:val="000000" w:themeColor="text1"/>
              </w:rPr>
            </w:r>
          </w:p>
          <w:p>
            <w:pPr>
              <w:pBdr/>
              <w:spacing/>
              <w:ind/>
              <w:rPr>
                <w:color w:val="000000" w:themeColor="text1"/>
              </w:rPr>
            </w:pPr>
            <w:r>
              <w:rPr>
                <w:rFonts w:ascii="Courier New" w:hAnsi="Courier New"/>
                <w:color w:val="000000" w:themeColor="text1"/>
                <w:sz w:val="18"/>
              </w:rPr>
              <w:t xml:space="preserve">│   └── synopsis.docx</w:t>
            </w:r>
            <w:r>
              <w:rPr>
                <w:color w:val="000000" w:themeColor="text1"/>
              </w:rPr>
            </w:r>
          </w:p>
          <w:p>
            <w:pPr>
              <w:pBdr/>
              <w:spacing/>
              <w:ind/>
              <w:rPr>
                <w:color w:val="000000" w:themeColor="text1"/>
              </w:rPr>
            </w:pPr>
            <w:r>
              <w:rPr>
                <w:rFonts w:ascii="Courier New" w:hAnsi="Courier New"/>
                <w:color w:val="000000" w:themeColor="text1"/>
                <w:sz w:val="18"/>
              </w:rPr>
              <w:t xml:space="preserve">├── notebooks</w:t>
            </w:r>
            <w:r>
              <w:rPr>
                <w:color w:val="000000" w:themeColor="text1"/>
              </w:rPr>
            </w:r>
          </w:p>
          <w:p>
            <w:pPr>
              <w:pBdr/>
              <w:spacing/>
              <w:ind/>
              <w:rPr>
                <w:color w:val="000000" w:themeColor="text1"/>
              </w:rPr>
            </w:pPr>
            <w:r>
              <w:rPr>
                <w:rFonts w:ascii="Courier New" w:hAnsi="Courier New"/>
                <w:color w:val="000000" w:themeColor="text1"/>
                <w:sz w:val="18"/>
              </w:rPr>
              <w:t xml:space="preserve">│   ├── 00_run_all.ipynb</w:t>
            </w:r>
            <w:r>
              <w:rPr>
                <w:color w:val="000000" w:themeColor="text1"/>
              </w:rPr>
            </w:r>
          </w:p>
          <w:p>
            <w:pPr>
              <w:pBdr/>
              <w:spacing/>
              <w:ind/>
              <w:rPr>
                <w:color w:val="000000" w:themeColor="text1"/>
              </w:rPr>
            </w:pPr>
            <w:r>
              <w:rPr>
                <w:rFonts w:ascii="Courier New" w:hAnsi="Courier New"/>
                <w:color w:val="000000" w:themeColor="text1"/>
                <w:sz w:val="18"/>
              </w:rPr>
              <w:t xml:space="preserve">│   ├── 01_data_screening.ipynb</w:t>
            </w:r>
            <w:r>
              <w:rPr>
                <w:color w:val="000000" w:themeColor="text1"/>
              </w:rPr>
            </w:r>
          </w:p>
          <w:p>
            <w:pPr>
              <w:pBdr/>
              <w:spacing/>
              <w:ind/>
              <w:rPr>
                <w:color w:val="000000" w:themeColor="text1"/>
              </w:rPr>
            </w:pPr>
            <w:r>
              <w:rPr>
                <w:rFonts w:ascii="Courier New" w:hAnsi="Courier New"/>
                <w:color w:val="000000" w:themeColor="text1"/>
                <w:sz w:val="18"/>
              </w:rPr>
              <w:t xml:space="preserve">│   ├── 02_modeling_rq1.ipynb</w:t>
            </w:r>
            <w:r>
              <w:rPr>
                <w:color w:val="000000" w:themeColor="text1"/>
              </w:rPr>
            </w:r>
          </w:p>
          <w:p>
            <w:pPr>
              <w:pBdr/>
              <w:spacing/>
              <w:ind/>
              <w:rPr>
                <w:color w:val="000000" w:themeColor="text1"/>
              </w:rPr>
            </w:pPr>
            <w:r>
              <w:rPr>
                <w:rFonts w:ascii="Courier New" w:hAnsi="Courier New"/>
                <w:color w:val="000000" w:themeColor="text1"/>
                <w:sz w:val="18"/>
              </w:rPr>
              <w:t xml:space="preserve">│   ├── 03_shap_analysis_rq2.ipynb</w:t>
            </w:r>
            <w:r>
              <w:rPr>
                <w:color w:val="000000" w:themeColor="text1"/>
              </w:rPr>
            </w:r>
          </w:p>
          <w:p>
            <w:pPr>
              <w:pBdr/>
              <w:spacing/>
              <w:ind/>
              <w:rPr>
                <w:color w:val="000000" w:themeColor="text1"/>
              </w:rPr>
            </w:pPr>
            <w:r>
              <w:rPr>
                <w:rFonts w:ascii="Courier New" w:hAnsi="Courier New"/>
                <w:color w:val="000000" w:themeColor="text1"/>
                <w:sz w:val="18"/>
              </w:rPr>
              <w:t xml:space="preserve">│   ├── 04_feature_reduction_rq3.ipynb</w:t>
            </w:r>
            <w:r>
              <w:rPr>
                <w:color w:val="000000" w:themeColor="text1"/>
              </w:rPr>
            </w:r>
          </w:p>
          <w:p>
            <w:pPr>
              <w:pBdr/>
              <w:spacing/>
              <w:ind/>
              <w:rPr>
                <w:color w:val="000000" w:themeColor="text1"/>
              </w:rPr>
            </w:pPr>
            <w:r>
              <w:rPr>
                <w:rFonts w:ascii="Courier New" w:hAnsi="Courier New"/>
                <w:color w:val="000000" w:themeColor="text1"/>
                <w:sz w:val="18"/>
              </w:rPr>
              <w:t xml:space="preserve">│   ├── 05_attention_comparison_rq4.ipynb</w:t>
            </w:r>
            <w:r>
              <w:rPr>
                <w:color w:val="000000" w:themeColor="text1"/>
              </w:rPr>
            </w:r>
          </w:p>
          <w:p>
            <w:pPr>
              <w:pBdr/>
              <w:spacing/>
              <w:ind/>
              <w:rPr>
                <w:color w:val="000000" w:themeColor="text1"/>
              </w:rPr>
            </w:pPr>
            <w:r>
              <w:rPr>
                <w:rFonts w:ascii="Courier New" w:hAnsi="Courier New"/>
                <w:color w:val="000000" w:themeColor="text1"/>
                <w:sz w:val="18"/>
              </w:rPr>
              <w:t xml:space="preserve">│   └── 06_anomaly_safety_net.ipynb</w:t>
            </w:r>
            <w:r>
              <w:rPr>
                <w:color w:val="000000" w:themeColor="text1"/>
              </w:rPr>
            </w:r>
          </w:p>
          <w:p>
            <w:pPr>
              <w:pBdr/>
              <w:spacing/>
              <w:ind/>
              <w:rPr>
                <w:color w:val="000000" w:themeColor="text1"/>
              </w:rPr>
            </w:pPr>
            <w:r>
              <w:rPr>
                <w:rFonts w:ascii="Courier New" w:hAnsi="Courier New"/>
                <w:color w:val="000000" w:themeColor="text1"/>
                <w:sz w:val="18"/>
              </w:rPr>
              <w:t xml:space="preserve">└── src</w:t>
            </w:r>
            <w:r>
              <w:rPr>
                <w:color w:val="000000" w:themeColor="text1"/>
              </w:rPr>
            </w:r>
          </w:p>
          <w:p>
            <w:pPr>
              <w:pBdr/>
              <w:spacing/>
              <w:ind/>
              <w:rPr>
                <w:color w:val="000000" w:themeColor="text1"/>
              </w:rPr>
            </w:pPr>
            <w:r>
              <w:rPr>
                <w:rFonts w:ascii="Courier New" w:hAnsi="Courier New"/>
                <w:color w:val="000000" w:themeColor="text1"/>
                <w:sz w:val="18"/>
              </w:rPr>
              <w:t xml:space="preserve">    ├── anomaly_detection.py</w:t>
            </w:r>
            <w:r>
              <w:rPr>
                <w:color w:val="000000" w:themeColor="text1"/>
              </w:rPr>
            </w:r>
          </w:p>
          <w:p>
            <w:pPr>
              <w:pBdr/>
              <w:spacing/>
              <w:ind/>
              <w:rPr>
                <w:color w:val="000000" w:themeColor="text1"/>
              </w:rPr>
            </w:pPr>
            <w:r>
              <w:rPr>
                <w:rFonts w:ascii="Courier New" w:hAnsi="Courier New"/>
                <w:color w:val="000000" w:themeColor="text1"/>
                <w:sz w:val="18"/>
              </w:rPr>
              <w:t xml:space="preserve">    ├── artifacts.py</w:t>
            </w:r>
            <w:r>
              <w:rPr>
                <w:color w:val="000000" w:themeColor="text1"/>
              </w:rPr>
            </w:r>
          </w:p>
          <w:p>
            <w:pPr>
              <w:pBdr/>
              <w:spacing/>
              <w:ind/>
              <w:rPr>
                <w:color w:val="000000" w:themeColor="text1"/>
              </w:rPr>
            </w:pPr>
            <w:r>
              <w:rPr>
                <w:rFonts w:ascii="Courier New" w:hAnsi="Courier New"/>
                <w:color w:val="000000" w:themeColor="text1"/>
                <w:sz w:val="18"/>
              </w:rPr>
              <w:t xml:space="preserve">    ├── explainability.py</w:t>
            </w:r>
            <w:r>
              <w:rPr>
                <w:color w:val="000000" w:themeColor="text1"/>
              </w:rPr>
            </w:r>
          </w:p>
          <w:p>
            <w:pPr>
              <w:pBdr/>
              <w:spacing/>
              <w:ind/>
              <w:rPr>
                <w:color w:val="000000" w:themeColor="text1"/>
              </w:rPr>
            </w:pPr>
            <w:r>
              <w:rPr>
                <w:rFonts w:ascii="Courier New" w:hAnsi="Courier New"/>
                <w:color w:val="000000" w:themeColor="text1"/>
                <w:sz w:val="18"/>
              </w:rPr>
              <w:t xml:space="preserve">    ├── feature_selection.py</w:t>
            </w:r>
            <w:r>
              <w:rPr>
                <w:color w:val="000000" w:themeColor="text1"/>
              </w:rPr>
            </w:r>
          </w:p>
          <w:p>
            <w:pPr>
              <w:pBdr/>
              <w:spacing/>
              <w:ind/>
              <w:rPr>
                <w:color w:val="000000" w:themeColor="text1"/>
              </w:rPr>
            </w:pPr>
            <w:r>
              <w:rPr>
                <w:rFonts w:ascii="Courier New" w:hAnsi="Courier New"/>
                <w:color w:val="000000" w:themeColor="text1"/>
                <w:sz w:val="18"/>
              </w:rPr>
              <w:t xml:space="preserve">    ├── fetch_data.py</w:t>
            </w:r>
            <w:r>
              <w:rPr>
                <w:color w:val="000000" w:themeColor="text1"/>
              </w:rPr>
            </w:r>
          </w:p>
          <w:p>
            <w:pPr>
              <w:pBdr/>
              <w:spacing/>
              <w:ind/>
              <w:rPr>
                <w:color w:val="000000" w:themeColor="text1"/>
              </w:rPr>
            </w:pPr>
            <w:r>
              <w:rPr>
                <w:rFonts w:ascii="Courier New" w:hAnsi="Courier New"/>
                <w:color w:val="000000" w:themeColor="text1"/>
                <w:sz w:val="18"/>
              </w:rPr>
              <w:t xml:space="preserve">    ├── metrics.py</w:t>
            </w:r>
            <w:r>
              <w:rPr>
                <w:color w:val="000000" w:themeColor="text1"/>
              </w:rPr>
            </w:r>
          </w:p>
          <w:p>
            <w:pPr>
              <w:pBdr/>
              <w:spacing/>
              <w:ind/>
              <w:rPr>
                <w:color w:val="000000" w:themeColor="text1"/>
              </w:rPr>
            </w:pPr>
            <w:r>
              <w:rPr>
                <w:rFonts w:ascii="Courier New" w:hAnsi="Courier New"/>
                <w:color w:val="000000" w:themeColor="text1"/>
                <w:sz w:val="18"/>
              </w:rPr>
              <w:t xml:space="preserve">    └── preprocessing.py</w:t>
            </w:r>
            <w:r>
              <w:rPr>
                <w:color w:val="000000" w:themeColor="text1"/>
              </w:rPr>
            </w:r>
          </w:p>
        </w:tc>
      </w:tr>
    </w:tbl>
    <w:p w14:paraId="3A0721BE">
      <w:pPr>
        <w:pBdr/>
        <w:spacing w:line="480" w:lineRule="auto"/>
        <w:ind/>
        <w:jc w:val="both"/>
        <w:rPr>
          <w:color w:val="000000" w:themeColor="text1"/>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spacing w:line="480" w:lineRule="auto"/>
        <w:ind/>
        <w:jc w:val="both"/>
        <w:rPr>
          <w:rFonts w:ascii="Times New Roman" w:hAnsi="Times New Roman" w:eastAsia="Times New Roman" w:cs="Times New Roman"/>
          <w:color w:val="000000" w:themeColor="text1"/>
          <w:sz w:val="24"/>
          <w:szCs w:val="24"/>
          <w:highlight w:val="yellow"/>
        </w:rPr>
      </w:pPr>
      <w:r>
        <w:rPr>
          <w:rFonts w:ascii="Times New Roman" w:hAnsi="Times New Roman" w:eastAsia="Times New Roman" w:cs="Times New Roman"/>
          <w:color w:val="000000" w:themeColor="text1"/>
          <w:sz w:val="24"/>
          <w:szCs w:val="24"/>
          <w:highlight w:val="yellow"/>
        </w:rPr>
        <w:t xml:space="preserve">A screenshot of the actual notebook output (X.shape and X.info(), confirming the 1,567 x 590 raw SECOM DataFrame) is inserted below:</w:t>
      </w:r>
      <w:r>
        <w:rPr>
          <w:color w:val="000000" w:themeColor="text1"/>
          <w:highlight w:val="yellow"/>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220922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3797" name=""/>
                        <pic:cNvPicPr>
                          <a:picLocks noChangeAspect="1"/>
                        </pic:cNvPicPr>
                        <pic:nvPr/>
                      </pic:nvPicPr>
                      <pic:blipFill rotWithShape="1">
                        <a:blip r:embed="rId10"/>
                        <a:stretch/>
                      </pic:blipFill>
                      <pic:spPr bwMode="auto">
                        <a:xfrm rot="0" flipH="0" flipV="0">
                          <a:off x="0" y="0"/>
                          <a:ext cx="5943599" cy="220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3.95pt;mso-wrap-distance-left:0.00pt;mso-wrap-distance-top:0.00pt;mso-wrap-distance-right:0.00pt;mso-wrap-distance-bottom:0.00pt;rotation:0;z-index:1;" stroked="false">
                <v:imagedata r:id="rId10" o:title=""/>
                <o:lock v:ext="edit" rotation="t"/>
              </v:shape>
            </w:pict>
          </mc:Fallback>
        </mc:AlternateContent>
      </w:r>
      <w:r>
        <w:rPr>
          <w:rFonts w:ascii="Times New Roman" w:hAnsi="Times New Roman" w:eastAsia="Times New Roman" w:cs="Times New Roman"/>
          <w:color w:val="000000" w:themeColor="text1"/>
          <w:sz w:val="24"/>
          <w:szCs w:val="24"/>
        </w:rPr>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Analytic Approach</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following subsections outline, per research question, the statistical/ML technique proposed and the hypothesis it is designed to test.</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Solution to RQ1</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Hypothesis: a class-imbalance-corrected ensemble model (Random Forest, XGBoost) will significantly outperform both a majority-class baseline and a standard (unweighted) logistic regression on imbalanced classificati</w:t>
      </w:r>
      <w:r>
        <w:rPr>
          <w:rFonts w:ascii="Times New Roman" w:hAnsi="Times New Roman" w:eastAsia="Times New Roman" w:cs="Times New Roman"/>
          <w:color w:val="000000" w:themeColor="text1"/>
          <w:sz w:val="24"/>
          <w:szCs w:val="24"/>
        </w:rPr>
        <w:t xml:space="preserve">on metrics; a TabNet neural model may match or exceed the tree ensembles, but tabular deep learning does not reliably beat gradient boosting at this sample size, so this is treated as an open empirical question rather than an assumed result. Approach: fit </w:t>
      </w:r>
      <w:r>
        <w:rPr>
          <w:rFonts w:ascii="Times New Roman" w:hAnsi="Times New Roman" w:eastAsia="Times New Roman" w:cs="Times New Roman"/>
          <w:color w:val="000000" w:themeColor="text1"/>
          <w:sz w:val="24"/>
          <w:szCs w:val="24"/>
        </w:rPr>
        <w:t xml:space="preserve">logistic regression, Random Forest, XGBoost (Chen &amp; Guestrin, 2016), and TabNet (Arik &amp; Pfister, 2021) using stratified k-fold cross-validation with class weighting; compare all four models on AUC-ROC, AUC-PR, and Balanced Error Rate (BER), the metric used</w:t>
      </w:r>
      <w:r>
        <w:rPr>
          <w:rFonts w:ascii="Times New Roman" w:hAnsi="Times New Roman" w:eastAsia="Times New Roman" w:cs="Times New Roman"/>
          <w:color w:val="000000" w:themeColor="text1"/>
          <w:sz w:val="24"/>
          <w:szCs w:val="24"/>
        </w:rPr>
        <w:t xml:space="preserve"> in the original SECOM baseline studies. As a robustness check, SMOTE oversampling (Chawla et al., 2002) is additionally applied within each training fold (never the held-out fold) for the single best-performing tree model only, not all four models -- scop</w:t>
      </w:r>
      <w:r>
        <w:rPr>
          <w:rFonts w:ascii="Times New Roman" w:hAnsi="Times New Roman" w:eastAsia="Times New Roman" w:cs="Times New Roman"/>
          <w:color w:val="000000" w:themeColor="text1"/>
          <w:sz w:val="24"/>
          <w:szCs w:val="24"/>
        </w:rPr>
        <w:t xml:space="preserve">ed this way to test the specific question that matters most (does rebalancing the training data itself, rather than only reweighting the loss, change the threshold-collapse behavior discussed below) without repeating the full 4-model CV pass a second time.</w:t>
      </w:r>
      <w:r>
        <w:rPr>
          <w:rFonts w:ascii="Times New Roman" w:hAnsi="Times New Roman" w:eastAsia="Times New Roman" w:cs="Times New Roman"/>
          <w:color w:val="000000" w:themeColor="text1"/>
          <w:sz w:val="24"/>
          <w:szCs w:val="24"/>
        </w:rPr>
        <w:t xml:space="preserve"> Reporting TabNet alongside the classical models here (rather than only in RQ4) lets the study separately answer "does a neural net help prediction" (RQ1) and "does a neural net explain itself well" (RQ4) — two distinct questions that are easy to conflate.</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Solution to RQ2</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Hypothesis: a small subset of sensors will account for a disproportionate share of total SHAP importance (a Pareto-like structure), and these will be physically plausible (e.g., temperature/pressure sensors clustered </w:t>
      </w:r>
      <w:r>
        <w:rPr>
          <w:rFonts w:ascii="Times New Roman" w:hAnsi="Times New Roman" w:eastAsia="Times New Roman" w:cs="Times New Roman"/>
          <w:color w:val="000000" w:themeColor="text1"/>
          <w:sz w:val="24"/>
          <w:szCs w:val="24"/>
        </w:rPr>
        <w:t xml:space="preserve">around known process-critical steps). Approach: apply TreeExplainer SHAP (Lundberg &amp; Lee, 2017) to the best-performing tree ensemble from RQ1; rank features by mean |SHAP value|; cross-check the ranking against permutation importance as a robustness check.</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LIME (Local Interpretable Model-agnostic Ex</w:t>
      </w:r>
      <w:r>
        <w:rPr>
          <w:rFonts w:ascii="Times New Roman" w:hAnsi="Times New Roman" w:eastAsia="Times New Roman" w:cs="Times New Roman"/>
          <w:color w:val="000000" w:themeColor="text1"/>
          <w:sz w:val="24"/>
          <w:szCs w:val="24"/>
        </w:rPr>
        <w:t xml:space="preserve">planations; Ribeiro, Singh, &amp; Guestrin, 2016) was considered as an alternative to SHAP and is worth distinguishing explicitly from the PCA discussion below, since the reasons for setting it aside are different. Unlike PCA, LIME is supervised and produces a</w:t>
      </w:r>
      <w:r>
        <w:rPr>
          <w:rFonts w:ascii="Times New Roman" w:hAnsi="Times New Roman" w:eastAsia="Times New Roman" w:cs="Times New Roman"/>
          <w:color w:val="000000" w:themeColor="text1"/>
          <w:sz w:val="24"/>
          <w:szCs w:val="24"/>
        </w:rPr>
        <w:t xml:space="preserve">ttributions on the original named features, so it does not have PCA's opacity problem. The issue with LIME instead is stability: LIME explains a prediction by randomly perturbing the instance, generating a local neighborhood of synthetic samples, and fitti</w:t>
      </w:r>
      <w:r>
        <w:rPr>
          <w:rFonts w:ascii="Times New Roman" w:hAnsi="Times New Roman" w:eastAsia="Times New Roman" w:cs="Times New Roman"/>
          <w:color w:val="000000" w:themeColor="text1"/>
          <w:sz w:val="24"/>
          <w:szCs w:val="24"/>
        </w:rPr>
        <w:t xml:space="preserve">ng a weighted linear surrogate to the model's predictions on that neighborhood — a procedure with several free parameters (kernel width, neighborhood size, sampling density) that are not fixed by the method itself. Because the neighborhood is generated sto</w:t>
      </w:r>
      <w:r>
        <w:rPr>
          <w:rFonts w:ascii="Times New Roman" w:hAnsi="Times New Roman" w:eastAsia="Times New Roman" w:cs="Times New Roman"/>
          <w:color w:val="000000" w:themeColor="text1"/>
          <w:sz w:val="24"/>
          <w:szCs w:val="24"/>
        </w:rPr>
        <w:t xml:space="preserve">chastically, re-running LIME on the same instance can produce a different top-feature ranking from one run to the next (Alvarez-Melis &amp; Jaakkola, 2018), and this sampling dependence has been shown to be exploitable: Slack, Hilgard, Jia, Singh, and Lakkaraj</w:t>
      </w:r>
      <w:r>
        <w:rPr>
          <w:rFonts w:ascii="Times New Roman" w:hAnsi="Times New Roman" w:eastAsia="Times New Roman" w:cs="Times New Roman"/>
          <w:color w:val="000000" w:themeColor="text1"/>
          <w:sz w:val="24"/>
          <w:szCs w:val="24"/>
        </w:rPr>
        <w:t xml:space="preserve">u (2020) demonstrated that a classifier can be constructed to behave one way inside LIME's sampling neighborhood and another way outside it, hiding biased behavior from the explanation. SHAP is not immune to every version of this problem — the TreeExplaine</w:t>
      </w:r>
      <w:r>
        <w:rPr>
          <w:rFonts w:ascii="Times New Roman" w:hAnsi="Times New Roman" w:eastAsia="Times New Roman" w:cs="Times New Roman"/>
          <w:color w:val="000000" w:themeColor="text1"/>
          <w:sz w:val="24"/>
          <w:szCs w:val="24"/>
        </w:rPr>
        <w:t xml:space="preserve">r used for the tree ensembles in RQ1-RQ3 computes exact, deterministic Shapley values with no sampling involved, but the explainer used for TabNet and the MLP control in RQ4 must fall back to an approximate, sampling-based estimator, reintroducing some of </w:t>
      </w:r>
      <w:r>
        <w:rPr>
          <w:rFonts w:ascii="Times New Roman" w:hAnsi="Times New Roman" w:eastAsia="Times New Roman" w:cs="Times New Roman"/>
          <w:color w:val="000000" w:themeColor="text1"/>
          <w:sz w:val="24"/>
          <w:szCs w:val="24"/>
        </w:rPr>
        <w:t xml:space="preserve">the same variance in that specific comparison. Even there, SHAP retains a guarantee LIME does not: Shapley values are grounded in cooperative game theory and satisfy defined consistency properties (e.g., local accuracy, meaning the attributions sum exactly</w:t>
      </w:r>
      <w:r>
        <w:rPr>
          <w:rFonts w:ascii="Times New Roman" w:hAnsi="Times New Roman" w:eastAsia="Times New Roman" w:cs="Times New Roman"/>
          <w:color w:val="000000" w:themeColor="text1"/>
          <w:sz w:val="24"/>
          <w:szCs w:val="24"/>
        </w:rPr>
        <w:t xml:space="preserve"> to the gap between the prediction and a baseline), whereas LIME's local linear surrogate carries no equivalent guarantee. This is the basis for using SHAP as the primary explainer throughout, with LIME set aside rather than run as a secondary cross-check.</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w:t>
      </w:r>
      <w:r>
        <w:rPr>
          <w:rFonts w:ascii="Times New Roman" w:hAnsi="Times New Roman" w:eastAsia="Times New Roman" w:cs="Times New Roman"/>
          <w:color w:val="000000" w:themeColor="text1"/>
          <w:sz w:val="24"/>
          <w:szCs w:val="24"/>
        </w:rPr>
        <w:t xml:space="preserve">reeInterpreter (Saabas, 2014) was also considered, since it decomposes tree predictions into bias plus per-feature contributions and runs faster than SHAP on Random Forest specifically. It was set aside for a documented, rather than incidental, reason: Lun</w:t>
      </w:r>
      <w:r>
        <w:rPr>
          <w:rFonts w:ascii="Times New Roman" w:hAnsi="Times New Roman" w:eastAsia="Times New Roman" w:cs="Times New Roman"/>
          <w:color w:val="000000" w:themeColor="text1"/>
          <w:sz w:val="24"/>
          <w:szCs w:val="24"/>
        </w:rPr>
        <w:t xml:space="preserve">dberg, Erion, and Lee (2018) — the same authors who developed TreeExplainer — formally showed that the Saabas-style decomposition TreeInterpreter implements is inconsistent, meaning it can lower a feature's assigned importance even when that feature's true</w:t>
      </w:r>
      <w:r>
        <w:rPr>
          <w:rFonts w:ascii="Times New Roman" w:hAnsi="Times New Roman" w:eastAsia="Times New Roman" w:cs="Times New Roman"/>
          <w:color w:val="000000" w:themeColor="text1"/>
          <w:sz w:val="24"/>
          <w:szCs w:val="24"/>
        </w:rPr>
        <w:t xml:space="preserve"> impact on the prediction increases. That is a direct threat to any ranking-based claim (exactly what RQ2 is making), and it is the documented motivation for TreeExplainer's existence as a fix. TreeInterpreter is also not usable as a common explainer acros</w:t>
      </w:r>
      <w:r>
        <w:rPr>
          <w:rFonts w:ascii="Times New Roman" w:hAnsi="Times New Roman" w:eastAsia="Times New Roman" w:cs="Times New Roman"/>
          <w:color w:val="000000" w:themeColor="text1"/>
          <w:sz w:val="24"/>
          <w:szCs w:val="24"/>
        </w:rPr>
        <w:t xml:space="preserve">s the full RQ1 model lineup, since it only supports scikit-learn's native decision-tree and Random Forest classes and has no XGBoost or TabNet support, whereas TreeExplainer covers both tree ensembles used here with the same exact, deterministic algorithm.</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As a complementary deliverable alongside the SHAP ranking (not a substitute for it), Accu</w:t>
      </w:r>
      <w:r>
        <w:rPr>
          <w:rFonts w:ascii="Times New Roman" w:hAnsi="Times New Roman" w:eastAsia="Times New Roman" w:cs="Times New Roman"/>
          <w:color w:val="000000" w:themeColor="text1"/>
          <w:sz w:val="24"/>
          <w:szCs w:val="24"/>
        </w:rPr>
        <w:t xml:space="preserve">mulated Local Effects (ALE) plots (Apley &amp; Zhu, 2020) are proposed for the final top-10 features once selected. SHAP and ALE answer different questions: SHAP is local (why this wafer, this prediction), while ALE is global (on average, how does fail probabi</w:t>
      </w:r>
      <w:r>
        <w:rPr>
          <w:rFonts w:ascii="Times New Roman" w:hAnsi="Times New Roman" w:eastAsia="Times New Roman" w:cs="Times New Roman"/>
          <w:color w:val="000000" w:themeColor="text1"/>
          <w:sz w:val="24"/>
          <w:szCs w:val="24"/>
        </w:rPr>
        <w:t xml:space="preserve">lity move as one sensor's reading changes). Partial Dependence Plots (PDP) address the same global question but assume feature independence when averaging, which is a poor assumption here given the correlation clustering already required by RQ3 to handle S</w:t>
      </w:r>
      <w:r>
        <w:rPr>
          <w:rFonts w:ascii="Times New Roman" w:hAnsi="Times New Roman" w:eastAsia="Times New Roman" w:cs="Times New Roman"/>
          <w:color w:val="000000" w:themeColor="text1"/>
          <w:sz w:val="24"/>
          <w:szCs w:val="24"/>
        </w:rPr>
        <w:t xml:space="preserve">ECOM's known multicollinearity; ALE was designed specifically to remain unbiased under correlated features by using local conditional differences instead of marginal averaging, and is proposed in place of PDP for that reason. Reporting an ALE curve alongsi</w:t>
      </w:r>
      <w:r>
        <w:rPr>
          <w:rFonts w:ascii="Times New Roman" w:hAnsi="Times New Roman" w:eastAsia="Times New Roman" w:cs="Times New Roman"/>
          <w:color w:val="000000" w:themeColor="text1"/>
          <w:sz w:val="24"/>
          <w:szCs w:val="24"/>
        </w:rPr>
        <w:t xml:space="preserve">de each top-10 feature's SHAP importance gives the engineering audience a direct answer to "which direction is bad" (e.g., fail probability rises sharply once a given sensor exceeds a threshold), which a bare importance ranking does not provide on its own.</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Solution to RQ3</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Hypothesis: a model restricted to the top-k SHAP-ranked features (k ≈ 10, per the RQ1 sample-size constraint) will not significantly underperform the full 590-feature model. Approach, tightened to avoid information leakage and single-method bias:</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Nested feature selection: SHAP importance is computed only on each training fold, never on the full dataset before splitting; the top-k feature</w:t>
      </w:r>
      <w:r>
        <w:rPr>
          <w:rFonts w:ascii="Times New Roman" w:hAnsi="Times New Roman" w:eastAsia="Times New Roman" w:cs="Times New Roman"/>
          <w:color w:val="000000" w:themeColor="text1"/>
          <w:sz w:val="24"/>
          <w:szCs w:val="24"/>
        </w:rPr>
        <w:t xml:space="preserve">s are selected fold-by-fold, and the reduced model is evaluated on that fold's held-out test data. The stability of the selected feature set across folds is itself reported (i.e., do the same ~10 sensors recur, or does selection wobble from fold to fold?).</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Corr</w:t>
      </w:r>
      <w:r>
        <w:rPr>
          <w:rFonts w:ascii="Times New Roman" w:hAnsi="Times New Roman" w:eastAsia="Times New Roman" w:cs="Times New Roman"/>
          <w:color w:val="000000" w:themeColor="text1"/>
          <w:sz w:val="24"/>
          <w:szCs w:val="24"/>
        </w:rPr>
        <w:t xml:space="preserve">elation clustering: sensors are hierarchically clustered by pairwise correlation (threshold ρ &gt; 0.85) before ranking, so that near-duplicate sensors monitoring the same physical process compete as one cluster rather than splitting SHAP credit artificially.</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Independent cross-check via LASSO: an L1-regularized logistic regression is fit as a second, methodological</w:t>
      </w:r>
      <w:r>
        <w:rPr>
          <w:rFonts w:ascii="Times New Roman" w:hAnsi="Times New Roman" w:eastAsia="Times New Roman" w:cs="Times New Roman"/>
          <w:color w:val="000000" w:themeColor="text1"/>
          <w:sz w:val="24"/>
          <w:szCs w:val="24"/>
        </w:rPr>
        <w:t xml:space="preserve">ly independent feature-selection method. Convergence between the SHAP-selected and LASSO-selected feature sets (Tibshirani, 1996) is used as corroborating evidence that the reduced set reflects real signal rather than an artifact of one importance measure.</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Watch list: the next-ranked ~20-30 features that narrowly missed the top-k cut are retained and reported alongside the final model (with their SHAP scores) as monitoring candidates, rather than silently discarded.</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Comparison of the full and reduced models uses DeLong's test for correlated AUC-ROC curves and a two-proportion (Cohen's h) test for accuracy; McNemar's test on paired prediction disagreements serves as a secondary check.</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Principal Component Analysis (PCA) was considered as an alternative dimensionality</w:t>
      </w:r>
      <w:r>
        <w:rPr>
          <w:rFonts w:ascii="Times New Roman" w:hAnsi="Times New Roman" w:eastAsia="Times New Roman" w:cs="Times New Roman"/>
          <w:color w:val="000000" w:themeColor="text1"/>
          <w:sz w:val="24"/>
          <w:szCs w:val="24"/>
        </w:rPr>
        <w:t xml:space="preserve">-reduction approach, given that 590 raw features is large relative to the available sample size. PCA (Jolliffe, 2002) is a well-established technique for compressing wide feature sets into a smaller number of components that capture most of the data's vari</w:t>
      </w:r>
      <w:r>
        <w:rPr>
          <w:rFonts w:ascii="Times New Roman" w:hAnsi="Times New Roman" w:eastAsia="Times New Roman" w:cs="Times New Roman"/>
          <w:color w:val="000000" w:themeColor="text1"/>
          <w:sz w:val="24"/>
          <w:szCs w:val="24"/>
        </w:rPr>
        <w:t xml:space="preserve">ance, and it is worth being explicit about why it was not adopted as the primary reduction method here. Two properties of PCA conflict directly with this study's goals. First, PCA is unsupervised: its components are chosen to maximize overall variance in t</w:t>
      </w:r>
      <w:r>
        <w:rPr>
          <w:rFonts w:ascii="Times New Roman" w:hAnsi="Times New Roman" w:eastAsia="Times New Roman" w:cs="Times New Roman"/>
          <w:color w:val="000000" w:themeColor="text1"/>
          <w:sz w:val="24"/>
          <w:szCs w:val="24"/>
        </w:rPr>
        <w:t xml:space="preserve">he sensor readings, without reference to the pass/fail label, so the directions it finds are not guaranteed to align with the directions that actually separate failures from passes — SHAP and LASSO, by contrast, are label-aware by construction. Second, and</w:t>
      </w:r>
      <w:r>
        <w:rPr>
          <w:rFonts w:ascii="Times New Roman" w:hAnsi="Times New Roman" w:eastAsia="Times New Roman" w:cs="Times New Roman"/>
          <w:color w:val="000000" w:themeColor="text1"/>
          <w:sz w:val="24"/>
          <w:szCs w:val="24"/>
        </w:rPr>
        <w:t xml:space="preserve"> more importantly for RQ2 and RQ4, a principal component is a linear combination of many original sensors (e.g., "0.4 × Sensor_12 − 0.3 × Sensor_87 + ..."), not a single named sensor; a process engineer cannot walk out to a specific tool and inspect "Princ</w:t>
      </w:r>
      <w:r>
        <w:rPr>
          <w:rFonts w:ascii="Times New Roman" w:hAnsi="Times New Roman" w:eastAsia="Times New Roman" w:cs="Times New Roman"/>
          <w:color w:val="000000" w:themeColor="text1"/>
          <w:sz w:val="24"/>
          <w:szCs w:val="24"/>
        </w:rPr>
        <w:t xml:space="preserve">ipal Component 3" the way they can inspect a chamber pressure sensor. Since the entire premise of this capstone is engineer-facing, sensor-level explainability, PCA's opacity at the feature level would undercut the study's central contribution even if it i</w:t>
      </w:r>
      <w:r>
        <w:rPr>
          <w:rFonts w:ascii="Times New Roman" w:hAnsi="Times New Roman" w:eastAsia="Times New Roman" w:cs="Times New Roman"/>
          <w:color w:val="000000" w:themeColor="text1"/>
          <w:sz w:val="24"/>
          <w:szCs w:val="24"/>
        </w:rPr>
        <w:t xml:space="preserve">mproved predictive performance. As an optional, time-permitting extension, PCA could still be run as a secondary ablation — comparing how much predictive performance an opaque, variance-maximizing reduction achieves relative to the interpretable, label-awa</w:t>
      </w:r>
      <w:r>
        <w:rPr>
          <w:rFonts w:ascii="Times New Roman" w:hAnsi="Times New Roman" w:eastAsia="Times New Roman" w:cs="Times New Roman"/>
          <w:color w:val="000000" w:themeColor="text1"/>
          <w:sz w:val="24"/>
          <w:szCs w:val="24"/>
        </w:rPr>
        <w:t xml:space="preserve">re SHAP-plus-LASSO reduction — to give a concrete, quantified answer to "what do we give up in accuracy, if anything, by insisting on interpretability?" This is noted as a possible extension rather than a core deliverable, to keep the four-RQ scope intact.</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Solution to RQ4</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Hypothesis: SHAP-based and attention-based feature rankings will show moderate-to-strong agreement (Spearman ρ ≥ .30) on the top-k features per instance; a plain MLP (identical depth/width, no attention layer) will sho</w:t>
      </w:r>
      <w:r>
        <w:rPr>
          <w:rFonts w:ascii="Times New Roman" w:hAnsi="Times New Roman" w:eastAsia="Times New Roman" w:cs="Times New Roman"/>
          <w:color w:val="000000" w:themeColor="text1"/>
          <w:sz w:val="24"/>
          <w:szCs w:val="24"/>
        </w:rPr>
        <w:t xml:space="preserve">w markedly weaker agreement with SHAP than TabNet does, isolating how much of the agreement is attributable to the attention mechanism specifically rather than to being a neural network in general. Approach: train both TabNet (Arik &amp; Pfister, 2021) and a c</w:t>
      </w:r>
      <w:r>
        <w:rPr>
          <w:rFonts w:ascii="Times New Roman" w:hAnsi="Times New Roman" w:eastAsia="Times New Roman" w:cs="Times New Roman"/>
          <w:color w:val="000000" w:themeColor="text1"/>
          <w:sz w:val="24"/>
          <w:szCs w:val="24"/>
        </w:rPr>
        <w:t xml:space="preserve">ontrol MLP on the same reduced feature set; extract TabNet's per-instance attention masks and, for the MLP control, Integrated Gradients (Sundararajan, Taly, &amp; Yan, 2017) in place of attention (since the MLP has no attention layer to extract). Integrated G</w:t>
      </w:r>
      <w:r>
        <w:rPr>
          <w:rFonts w:ascii="Times New Roman" w:hAnsi="Times New Roman" w:eastAsia="Times New Roman" w:cs="Times New Roman"/>
          <w:color w:val="000000" w:themeColor="text1"/>
          <w:sz w:val="24"/>
          <w:szCs w:val="24"/>
        </w:rPr>
        <w:t xml:space="preserve">radients is used rather than raw saliency because it satisfies sensitivity and implementation-invariance guarantees that plain gradients do not, making it a fairer, more rigorously grounded control than an unregularized saliency map — the comparison is onl</w:t>
      </w:r>
      <w:r>
        <w:rPr>
          <w:rFonts w:ascii="Times New Roman" w:hAnsi="Times New Roman" w:eastAsia="Times New Roman" w:cs="Times New Roman"/>
          <w:color w:val="000000" w:themeColor="text1"/>
          <w:sz w:val="24"/>
          <w:szCs w:val="24"/>
        </w:rPr>
        <w:t xml:space="preserve">y informative if the control's own explanation is itself defensible. Compute Spearman rank correlation between each model's feature ranking and the corresponding SHAP ranking; report the proportion of instances where the top-3 features fully agree, for bot</w:t>
      </w:r>
      <w:r>
        <w:rPr>
          <w:rFonts w:ascii="Times New Roman" w:hAnsi="Times New Roman" w:eastAsia="Times New Roman" w:cs="Times New Roman"/>
          <w:color w:val="000000" w:themeColor="text1"/>
          <w:sz w:val="24"/>
          <w:szCs w:val="24"/>
        </w:rPr>
        <w:t xml:space="preserve">h models. If TabNet's agreement is not meaningfully higher than the MLP control's, that is itself a finding — it would suggest TabNet's "built-in interpretability" claim does not hold up better than a generic post-hoc explanation applied to any neural net.</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Robustness Consideration: Coverage of Novel Failure Modes</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Restricting the deployed model to ~10 features (RQ3) protects against overfitting and satisfies the events-per-variable constraint from the sample-size analysis, but it creates a real trade-off: a genuinely novel failure mode that has never appeared</w:t>
      </w:r>
      <w:r>
        <w:rPr>
          <w:rFonts w:ascii="Times New Roman" w:hAnsi="Times New Roman" w:eastAsia="Times New Roman" w:cs="Times New Roman"/>
          <w:color w:val="000000" w:themeColor="text1"/>
          <w:sz w:val="24"/>
          <w:szCs w:val="24"/>
        </w:rPr>
        <w:t xml:space="preserve"> in the labeled fail class cannot be learned by any supervised, label-driven feature-selection method, SHAP-guided or otherwise. As a scoped mitigation within this capstone's timeline, an unsupervised Isolation Forest anomaly detector (Liu, Ting, &amp; Zhou, 2</w:t>
      </w:r>
      <w:r>
        <w:rPr>
          <w:rFonts w:ascii="Times New Roman" w:hAnsi="Times New Roman" w:eastAsia="Times New Roman" w:cs="Times New Roman"/>
          <w:color w:val="000000" w:themeColor="text1"/>
          <w:sz w:val="24"/>
          <w:szCs w:val="24"/>
        </w:rPr>
        <w:t xml:space="preserve">008) is trained on the full 590-feature set in parallel with the supervised reduced model. Because it does not use the pass/fail label at all, it can flag an unusual wafer even when no feature in the top-10 set explains why, functioning as a coverage safet</w:t>
      </w:r>
      <w:r>
        <w:rPr>
          <w:rFonts w:ascii="Times New Roman" w:hAnsi="Times New Roman" w:eastAsia="Times New Roman" w:cs="Times New Roman"/>
          <w:color w:val="000000" w:themeColor="text1"/>
          <w:sz w:val="24"/>
          <w:szCs w:val="24"/>
        </w:rPr>
        <w:t xml:space="preserve">y net rather than a replacement for the interpretable model. This is reported as a secondary, exploratory analysis rather than a fifth formal research question, since it does not require its own sample-size justification beyond the dataset already in hand.</w:t>
      </w:r>
      <w:r>
        <w:rPr>
          <w:color w:val="000000" w:themeColor="text1"/>
        </w:rPr>
      </w:r>
    </w:p>
    <w:p>
      <w:pPr>
        <w:pStyle w:val="717"/>
        <w:pBdr/>
        <w:spacing w:after="100" w:before="200" w:line="480" w:lineRule="auto"/>
        <w:ind/>
        <w:rPr>
          <w:color w:val="000000" w:themeColor="text1"/>
        </w:rPr>
      </w:pPr>
      <w:r>
        <w:rPr>
          <w:rFonts w:ascii="Times New Roman" w:hAnsi="Times New Roman" w:eastAsia="Times New Roman" w:cs="Times New Roman"/>
          <w:b/>
          <w:bCs/>
          <w:i/>
          <w:iCs/>
          <w:color w:val="000000" w:themeColor="text1"/>
          <w:sz w:val="24"/>
          <w:szCs w:val="24"/>
        </w:rPr>
        <w:t xml:space="preserve">Evaluation Metrics — Formulae</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Given a confusion matrix with true positives (TP), true negatives (TN), false positives (FP), and false negatives (FN), where "positive" = wafer fail:</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Precision = TP / (TP + FP)</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Recall (Sensitivity) = TP / (TP + FN)</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F1 Score = 2 × (Precision × Recall) / (Precision + Recall)</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Balanced Error Rate (BER) = 0.5 × [FP/(FP+TN) + FN/(FN+TP)]  — the primary metric used in published SECOM baselines</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Matthews Correlation Coefficient (MCC) = (TP×TN − FP×FN) / √[(TP+FP)(TP+FN)(TN+FP)(TN+FN)] — preferred over accuracy/F1 under severe imbalance (Chicco &amp; Jurman, 2020)</w:t>
      </w:r>
      <w:r>
        <w:rPr>
          <w:color w:val="000000" w:themeColor="text1"/>
        </w:rPr>
      </w:r>
    </w:p>
    <w:p>
      <w:pPr>
        <w:pStyle w:val="723"/>
        <w:numPr>
          <w:ilvl w:val="0"/>
          <w:numId w:val="1"/>
        </w:numPr>
        <w:pBdr/>
        <w:spacing w:line="480" w:lineRule="auto"/>
        <w:ind/>
        <w:rPr>
          <w:color w:val="000000" w:themeColor="text1"/>
        </w:rPr>
      </w:pPr>
      <w:r>
        <w:rPr>
          <w:rFonts w:ascii="Times New Roman" w:hAnsi="Times New Roman" w:eastAsia="Times New Roman" w:cs="Times New Roman"/>
          <w:color w:val="000000" w:themeColor="text1"/>
          <w:sz w:val="24"/>
          <w:szCs w:val="24"/>
        </w:rPr>
        <w:t xml:space="preserve">AUC-ROC = area under the curve of Recall (Sensitivity) vs. (1 − Specificity) across all classification thresholds</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Precision, Recall, and F1 will be repor</w:t>
      </w:r>
      <w:r>
        <w:rPr>
          <w:rFonts w:ascii="Times New Roman" w:hAnsi="Times New Roman" w:eastAsia="Times New Roman" w:cs="Times New Roman"/>
          <w:color w:val="000000" w:themeColor="text1"/>
          <w:sz w:val="24"/>
          <w:szCs w:val="24"/>
        </w:rPr>
        <w:t xml:space="preserve">ted for completeness, but BER, MCC, and AUC-ROC/AUC-PR are treated as the primary decision metrics given the dataset's ~14:1 class imbalance, since accuracy alone would be misleading (a model predicting "pass" for every wafer already scores ~93% accuracy).</w:t>
      </w:r>
      <w:r>
        <w:rPr>
          <w:color w:val="000000" w:themeColor="text1"/>
        </w:rPr>
      </w:r>
    </w:p>
    <w:p>
      <w:pPr>
        <w:pStyle w:val="716"/>
        <w:pBdr/>
        <w:spacing/>
        <w:ind/>
        <w:rPr>
          <w:color w:val="000000" w:themeColor="text1"/>
        </w:rPr>
      </w:pPr>
      <w:r>
        <w:rPr>
          <w:rFonts w:ascii="Times New Roman" w:hAnsi="Times New Roman"/>
          <w:b w:val="0"/>
          <w:i w:val="0"/>
          <w:color w:val="000000" w:themeColor="text1"/>
          <w:sz w:val="24"/>
        </w:rPr>
        <w:t xml:space="preserve">Preliminary Results</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This section reports actual results from running the analysis pipeline</w:t>
      </w:r>
      <w:r>
        <w:rPr>
          <w:rFonts w:ascii="Times New Roman" w:hAnsi="Times New Roman"/>
          <w:b w:val="0"/>
          <w:i w:val="0"/>
          <w:color w:val="000000" w:themeColor="text1"/>
          <w:sz w:val="24"/>
        </w:rPr>
        <w:t xml:space="preserve"> (GitHub: WJPsystems/secom-explainable-vm) against the real SECOM dataset, replacing the planned-methodology framing above with what was actually found. All code, notebooks, and full HTML run exports referenced here are available in the project repository.</w:t>
      </w:r>
      <w:r>
        <w:rPr>
          <w:color w:val="000000" w:themeColor="text1"/>
        </w:rPr>
      </w:r>
    </w:p>
    <w:p>
      <w:pPr>
        <w:pStyle w:val="717"/>
        <w:pBdr/>
        <w:spacing/>
        <w:ind/>
        <w:rPr>
          <w:color w:val="000000" w:themeColor="text1"/>
        </w:rPr>
      </w:pPr>
      <w:r>
        <w:rPr>
          <w:rFonts w:ascii="Times New Roman" w:hAnsi="Times New Roman"/>
          <w:b w:val="0"/>
          <w:i w:val="0"/>
          <w:color w:val="000000" w:themeColor="text1"/>
          <w:sz w:val="24"/>
        </w:rPr>
        <w:t xml:space="preserve">RQ1 Results: Model Comparison</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Table 3 reports out-of-fold (5-fold stratified cross-validation) performance for all four models. RandomForest achieved the highest AUC-ROC (0.7123), answering RQ1's central question directly: TabNet did not outperform the tree ensembles at </w:t>
      </w:r>
      <w:r>
        <w:rPr>
          <w:rFonts w:ascii="Times New Roman" w:hAnsi="Times New Roman"/>
          <w:b w:val="0"/>
          <w:i w:val="0"/>
          <w:color w:val="000000" w:themeColor="text1"/>
          <w:sz w:val="24"/>
        </w:rPr>
        <w:t xml:space="preserve">this sample size -- it ranked last of the four models on AUC-ROC (0.5653), consistent with the well-documented pattern in the literature that tabular deep learning does not reliably beat gradient boosting/random forests on small-to-medium tabular datasets.</w:t>
      </w:r>
      <w:r>
        <w:rPr>
          <w:color w:val="000000" w:themeColor="text1"/>
        </w:rPr>
      </w:r>
    </w:p>
    <w:tbl>
      <w:tblPr>
        <w:tblW w:w="0" w:type="auto"/>
        <w:tblBorders/>
        <w:tblLook w:val="04A0" w:firstRow="1" w:lastRow="0" w:firstColumn="1" w:lastColumn="0" w:noHBand="0" w:noVBand="1"/>
      </w:tblPr>
      <w:tblGrid>
        <w:gridCol w:w="1170"/>
        <w:gridCol w:w="1170"/>
        <w:gridCol w:w="1170"/>
        <w:gridCol w:w="1170"/>
        <w:gridCol w:w="1170"/>
        <w:gridCol w:w="1170"/>
        <w:gridCol w:w="1170"/>
        <w:gridCol w:w="1170"/>
      </w:tblGrid>
      <w:tr>
        <w:trPr/>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Model</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AUC-ROC</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AUC-PR</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BER</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MCC</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Precision</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Recall</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i w:val="0"/>
                <w:color w:val="000000" w:themeColor="text1"/>
                <w:sz w:val="24"/>
              </w:rPr>
              <w:t xml:space="preserve">F1</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RandomForest</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0.7123</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0.1629</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0.5000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XGBoost</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0.6692</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0.1524</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0.4897</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0.0528</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0.2000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0.0288</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0.0504</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LogisticRegression</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0.6642</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0.1282</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0.4403</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0.0916</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0.1283</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0.2308</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0.1649</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TabNet</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0.5653</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0.0880</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0.4797</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0.0599</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0.1522</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0.0673</w:t>
            </w:r>
            <w:r>
              <w:rPr>
                <w:color w:val="000000" w:themeColor="text1"/>
              </w:rPr>
            </w:r>
          </w:p>
        </w:tc>
        <w:tc>
          <w:tcPr>
            <w:tcBorders>
              <w:top w:val="single" w:color="000000" w:sz="4" w:space="0"/>
              <w:left w:val="single" w:color="000000" w:sz="4" w:space="0"/>
              <w:bottom w:val="single" w:color="000000" w:sz="4" w:space="0"/>
              <w:right w:val="single" w:color="000000" w:sz="4" w:space="0"/>
            </w:tcBorders>
            <w:tcW w:w="1170" w:type="dxa"/>
          </w:tcPr>
          <w:p>
            <w:pPr>
              <w:pBdr/>
              <w:spacing/>
              <w:ind/>
              <w:rPr>
                <w:color w:val="000000" w:themeColor="text1"/>
              </w:rPr>
            </w:pPr>
            <w:r>
              <w:rPr>
                <w:rFonts w:ascii="Times New Roman" w:hAnsi="Times New Roman"/>
                <w:b w:val="0"/>
                <w:i w:val="0"/>
                <w:color w:val="000000" w:themeColor="text1"/>
                <w:sz w:val="24"/>
              </w:rPr>
              <w:t xml:space="preserve">0.0933</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A critical caveat: at the conventional 0.5 probabil</w:t>
      </w:r>
      <w:r>
        <w:rPr>
          <w:rFonts w:ascii="Times New Roman" w:hAnsi="Times New Roman"/>
          <w:b w:val="0"/>
          <w:i w:val="0"/>
          <w:color w:val="000000" w:themeColor="text1"/>
          <w:sz w:val="24"/>
        </w:rPr>
        <w:t xml:space="preserve">ity threshold, RandomForest's precision, recall, F1, and MCC are all exactly 0.0000 and BER is exactly 0.5000 (chance level) -- despite having the best ranking ability of the four models, it never predicts "fail" for any wafer at that threshold. This is no</w:t>
      </w:r>
      <w:r>
        <w:rPr>
          <w:rFonts w:ascii="Times New Roman" w:hAnsi="Times New Roman"/>
          <w:b w:val="0"/>
          <w:i w:val="0"/>
          <w:color w:val="000000" w:themeColor="text1"/>
          <w:sz w:val="24"/>
        </w:rPr>
        <w:t xml:space="preserve">t a modeling error; class_weight="balanced" corrects the training loss (which is why AUC-ROC is meaningfully above chance) but does not shift the inference-time decision threshold. This motivated the threshold-calibration analysis reported under RQ3 below.</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As a robustness check on the threshold-collapse finding above, SMOTE oversampling (Chawla et al., 2002) was applied within each training fold (never the held-out fold) for RandomF</w:t>
      </w:r>
      <w:r>
        <w:rPr>
          <w:rFonts w:ascii="Times New Roman" w:hAnsi="Times New Roman"/>
          <w:b w:val="0"/>
          <w:i w:val="0"/>
          <w:color w:val="000000" w:themeColor="text1"/>
          <w:sz w:val="24"/>
        </w:rPr>
        <w:t xml:space="preserve">orest specifically, in place of class weighting, to test whether rebalancing the training data itself -- rather than only reweighting the training loss -- changes this behavior. Table 3b reports the result: it does not, meaningfully. SMOTE improved AUC-ROC</w:t>
      </w:r>
      <w:r>
        <w:rPr>
          <w:rFonts w:ascii="Times New Roman" w:hAnsi="Times New Roman"/>
          <w:b w:val="0"/>
          <w:i w:val="0"/>
          <w:color w:val="000000" w:themeColor="text1"/>
          <w:sz w:val="24"/>
        </w:rPr>
        <w:t xml:space="preserve"> only marginally (0.7208 vs. 0.7123) and left recall and BER close to their class-weighted values -- SMOTE-trained RandomForest still catches only about 1 of 104 real failures at the 0.5 threshold (recall = 0.0096), versus 0 for the class-weighted version.</w:t>
      </w:r>
      <w:r>
        <w:rPr>
          <w:color w:val="000000" w:themeColor="text1"/>
        </w:rPr>
      </w:r>
    </w:p>
    <w:tbl>
      <w:tblPr>
        <w:tblW w:w="0" w:type="auto"/>
        <w:tblBorders/>
        <w:tblLook w:val="04A0" w:firstRow="1" w:lastRow="0" w:firstColumn="1" w:lastColumn="0" w:noHBand="0" w:noVBand="1"/>
      </w:tblPr>
      <w:tblGrid>
        <w:gridCol w:w="3120"/>
        <w:gridCol w:w="3120"/>
        <w:gridCol w:w="3120"/>
      </w:tblGrid>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Metric</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Class-weighted (existing)</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SMOTE (robustness check)</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Precision</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0.2500</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Recall</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0.0096</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F1</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0.0185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BER</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0.5000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0.4962</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MCC</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0.0000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0.0373</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AUC-ROC</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0.7123</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0.7208</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This is a genuinely informative null result, not a discouraging one: it indicates the th</w:t>
      </w:r>
      <w:r>
        <w:rPr>
          <w:rFonts w:ascii="Times New Roman" w:hAnsi="Times New Roman"/>
          <w:b w:val="0"/>
          <w:i w:val="0"/>
          <w:color w:val="000000" w:themeColor="text1"/>
          <w:sz w:val="24"/>
        </w:rPr>
        <w:t xml:space="preserve">reshold-collapse problem is not specific to class weighting as an imbalance-correction technique -- SMOTE, a substantively different approach (rebalancing the training data rather than the training loss), does not resolve it either. A plausible explanation</w:t>
      </w:r>
      <w:r>
        <w:rPr>
          <w:rFonts w:ascii="Times New Roman" w:hAnsi="Times New Roman"/>
          <w:b w:val="0"/>
          <w:i w:val="0"/>
          <w:color w:val="000000" w:themeColor="text1"/>
          <w:sz w:val="24"/>
        </w:rPr>
        <w:t xml:space="preserve"> is that SMOTE's synthetic-sample generation relies on nearest-neighbor interpolation, which becomes markedly less reliable in high-dimensional spaces (curse of dimensionality) -- with 432 screened features, the "nearest neighbors" SMOTE interpolates betwe</w:t>
      </w:r>
      <w:r>
        <w:rPr>
          <w:rFonts w:ascii="Times New Roman" w:hAnsi="Times New Roman"/>
          <w:b w:val="0"/>
          <w:i w:val="0"/>
          <w:color w:val="000000" w:themeColor="text1"/>
          <w:sz w:val="24"/>
        </w:rPr>
        <w:t xml:space="preserve">en may not represent the minority class well. Practically, this strengthens the case that explicit threshold calibration (Table 6 below, RQ3) is the necessary fix here, rather than treating the choice of imbalance-correction technique as the primary lever.</w:t>
      </w:r>
      <w:r>
        <w:rPr>
          <w:color w:val="000000" w:themeColor="text1"/>
        </w:rPr>
      </w:r>
    </w:p>
    <w:p>
      <w:pPr>
        <w:pStyle w:val="717"/>
        <w:pBdr/>
        <w:spacing/>
        <w:ind/>
        <w:rPr>
          <w:color w:val="000000" w:themeColor="text1"/>
        </w:rPr>
      </w:pPr>
      <w:r>
        <w:rPr>
          <w:rFonts w:ascii="Times New Roman" w:hAnsi="Times New Roman"/>
          <w:b w:val="0"/>
          <w:i w:val="0"/>
          <w:color w:val="000000" w:themeColor="text1"/>
          <w:sz w:val="24"/>
        </w:rPr>
        <w:t xml:space="preserve">RQ2 Results: SHAP Feature Importance</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Table 4 reports the top 10 features by mean absolute SHAP value (TreeExplainer, exact/deterministic for the RandomForest model) alongside the top 10 by permutation importance, evaluated on a genuinely held-out 314-w</w:t>
      </w:r>
      <w:r>
        <w:rPr>
          <w:rFonts w:ascii="Times New Roman" w:hAnsi="Times New Roman"/>
          <w:b w:val="0"/>
          <w:i w:val="0"/>
          <w:color w:val="000000" w:themeColor="text1"/>
          <w:sz w:val="24"/>
        </w:rPr>
        <w:t xml:space="preserve">afer split (a model trained only on the remaining 80%). The two methods overlap on only 2 of 10 features (Sensor_60 and Sensor_206). This is a real, reportable finding, not a discrepancy to explain away: SHAP describes what the full-data model relies on in</w:t>
      </w:r>
      <w:r>
        <w:rPr>
          <w:rFonts w:ascii="Times New Roman" w:hAnsi="Times New Roman"/>
          <w:b w:val="0"/>
          <w:i w:val="0"/>
          <w:color w:val="000000" w:themeColor="text1"/>
          <w:sz w:val="24"/>
        </w:rPr>
        <w:t xml:space="preserve">ternally, while permutation importance tests what actually generalizes to unseen data on a small (~21 true fails) held-out sample -- some divergence between a global-explanation method and a small-sample generalization test is expected at this sample size.</w:t>
      </w:r>
      <w:r>
        <w:rPr>
          <w:color w:val="000000" w:themeColor="text1"/>
        </w:rPr>
      </w:r>
    </w:p>
    <w:tbl>
      <w:tblPr>
        <w:tblW w:w="0" w:type="auto"/>
        <w:tblBorders/>
        <w:tblLook w:val="04A0" w:firstRow="1" w:lastRow="0" w:firstColumn="1" w:lastColumn="0" w:noHBand="0" w:noVBand="1"/>
      </w:tblPr>
      <w:tblGrid>
        <w:gridCol w:w="3120"/>
        <w:gridCol w:w="3120"/>
        <w:gridCol w:w="3120"/>
      </w:tblGrid>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Rank</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SHAP Top 10 (mean |SHAP|)</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i w:val="0"/>
                <w:color w:val="000000" w:themeColor="text1"/>
                <w:sz w:val="24"/>
              </w:rPr>
              <w:t xml:space="preserve">Permutation Importance Top 10 (AUC-ROC drop)</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1</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Sensor_60 (0.011760)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Sensor_60 (0.011003)</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2</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Sensor_104 (0.008833)</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Sensor_29 (0.007606)</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3</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Sensor_34 (0.006755)</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Sensor_206 (0.006493)</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4</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Sensor_349 (0.005342)</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Sensor_17 (0.006241)</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5</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Sensor_478 (0.004919)</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Sensor_228 (0.005965)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6</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Sensor_131 (0.004781)</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Sensor_281 (0.005794)</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7</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Sensor_22 (0.004448)</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Sensor_132 (0.005631)</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8</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Sensor_461 (0.004386)</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Sensor_430 (0.005282)</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9</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Sensor_206 (0.004178)</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Sensor_492 (0.005274)</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10</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Sensor_511 (0.003878)</w:t>
            </w:r>
            <w:r>
              <w:rPr>
                <w:color w:val="000000" w:themeColor="text1"/>
              </w:rPr>
            </w:r>
          </w:p>
        </w:tc>
        <w:tc>
          <w:tcPr>
            <w:tcBorders>
              <w:top w:val="single" w:color="000000" w:sz="4" w:space="0"/>
              <w:left w:val="single" w:color="000000" w:sz="4" w:space="0"/>
              <w:bottom w:val="single" w:color="000000" w:sz="4" w:space="0"/>
              <w:right w:val="single" w:color="000000" w:sz="4" w:space="0"/>
            </w:tcBorders>
            <w:tcW w:w="3120" w:type="dxa"/>
          </w:tcPr>
          <w:p>
            <w:pPr>
              <w:pBdr/>
              <w:spacing/>
              <w:ind/>
              <w:rPr>
                <w:color w:val="000000" w:themeColor="text1"/>
              </w:rPr>
            </w:pPr>
            <w:r>
              <w:rPr>
                <w:rFonts w:ascii="Times New Roman" w:hAnsi="Times New Roman"/>
                <w:b w:val="0"/>
                <w:i w:val="0"/>
                <w:color w:val="000000" w:themeColor="text1"/>
                <w:sz w:val="24"/>
              </w:rPr>
              <w:t xml:space="preserve">Sensor_268 (0.005128)</w:t>
            </w:r>
            <w:r>
              <w:rPr>
                <w:color w:val="000000" w:themeColor="text1"/>
              </w:rPr>
            </w:r>
          </w:p>
        </w:tc>
      </w:tr>
    </w:tbl>
    <w:p>
      <w:pPr>
        <w:pStyle w:val="717"/>
        <w:pBdr/>
        <w:spacing/>
        <w:ind/>
        <w:rPr>
          <w:color w:val="000000" w:themeColor="text1"/>
        </w:rPr>
      </w:pPr>
      <w:r>
        <w:rPr>
          <w:rFonts w:ascii="Times New Roman" w:hAnsi="Times New Roman"/>
          <w:b w:val="0"/>
          <w:i w:val="0"/>
          <w:color w:val="000000" w:themeColor="text1"/>
          <w:sz w:val="24"/>
        </w:rPr>
        <w:t xml:space="preserve">RQ3 Results: Feature Reduction and Full-vs-Reduced Comparison</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Nested 5-fold cross-validation identified a stable core of features: Sensor_</w:t>
      </w:r>
      <w:r>
        <w:rPr>
          <w:rFonts w:ascii="Times New Roman" w:hAnsi="Times New Roman"/>
          <w:b w:val="0"/>
          <w:i w:val="0"/>
          <w:color w:val="000000" w:themeColor="text1"/>
          <w:sz w:val="24"/>
        </w:rPr>
        <w:t xml:space="preserve">60, Sensor_104, and Sensor_34 were selected in all 5 folds; Sensor_131 and Sensor_22 in 4 of 5. The final 10-feature set (Table 5) was built from the most stable features across folds, not a single fold's ranking, to avoid overfitting the selection itself.</w:t>
      </w:r>
      <w:r>
        <w:rPr>
          <w:color w:val="000000" w:themeColor="text1"/>
        </w:rPr>
      </w:r>
    </w:p>
    <w:tbl>
      <w:tblPr>
        <w:tblW w:w="0" w:type="auto"/>
        <w:tblBorders/>
        <w:tblLook w:val="04A0" w:firstRow="1" w:lastRow="0" w:firstColumn="1" w:lastColumn="0" w:noHBand="0" w:noVBand="1"/>
      </w:tblPr>
      <w:tblGrid>
        <w:gridCol w:w="4680"/>
        <w:gridCol w:w="4680"/>
      </w:tblGrid>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i w:val="0"/>
                <w:color w:val="000000" w:themeColor="text1"/>
                <w:sz w:val="24"/>
              </w:rPr>
              <w:t xml:space="preserve">Feature</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i w:val="0"/>
                <w:color w:val="000000" w:themeColor="text1"/>
                <w:sz w:val="24"/>
              </w:rPr>
              <w:t xml:space="preserve">Folds Selected (of 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Sensor_60</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5/5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Sensor_104</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5/5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Sensor_34</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5/5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Sensor_131</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4/5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Sensor_22</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4/5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Sensor_130</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3/5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Sensor_461</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3/5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Sensor_511</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3/5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Sensor_349</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3/5</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Sensor_478</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3/5</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The independent LASSO cross-check selected 303 features (far more than the SHAP-guided 10) with zero over</w:t>
      </w:r>
      <w:r>
        <w:rPr>
          <w:rFonts w:ascii="Times New Roman" w:hAnsi="Times New Roman"/>
          <w:b w:val="0"/>
          <w:i w:val="0"/>
          <w:color w:val="000000" w:themeColor="text1"/>
          <w:sz w:val="24"/>
        </w:rPr>
        <w:t xml:space="preserve">lap with the SHAP top-10 (Jaccard similarity = 0.00). This is a genuine finding worth reporting honestly rather than a validation failure: LASSO selects on linear, marginal association after standardization, while SHAP on a tree ensemble captures nonlinear</w:t>
      </w:r>
      <w:r>
        <w:rPr>
          <w:rFonts w:ascii="Times New Roman" w:hAnsi="Times New Roman"/>
          <w:b w:val="0"/>
          <w:i w:val="0"/>
          <w:color w:val="000000" w:themeColor="text1"/>
          <w:sz w:val="24"/>
        </w:rPr>
        <w:t xml:space="preserve"> and interaction effects -- the two methods are not expected to converge when the true signal is substantially nonlinear, which the wide AUC-ROC gap between LogisticRegression (0.6642) and RandomForest (0.7123) in Table 3 already suggests is the case here.</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Table 6 compares the full (432-feature) and reduced (10-feature) models on the same held-out 314-wafer split, at both the default 0.5 threshold and the F1-optimal threshold (0.0967) tuned on RQ1's out-of</w:t>
      </w:r>
      <w:r>
        <w:rPr>
          <w:rFonts w:ascii="Times New Roman" w:hAnsi="Times New Roman"/>
          <w:b w:val="0"/>
          <w:i w:val="0"/>
          <w:color w:val="000000" w:themeColor="text1"/>
          <w:sz w:val="24"/>
        </w:rPr>
        <w:t xml:space="preserve">-fold probabilities. At 0.5, both models predict "pass" for every wafer (identical 0.9331 accuracy, Cohen's h = 0.0000, McNemar's test degenerate with zero discordant pairs) -- the same threshold-miscalibration issue found in RQ1. At the tuned threshold, t</w:t>
      </w:r>
      <w:r>
        <w:rPr>
          <w:rFonts w:ascii="Times New Roman" w:hAnsi="Times New Roman"/>
          <w:b w:val="0"/>
          <w:i w:val="0"/>
          <w:color w:val="000000" w:themeColor="text1"/>
          <w:sz w:val="24"/>
        </w:rPr>
        <w:t xml:space="preserve">he reduced model outperforms the full model on every metric reported, including AUC-ROC, directly supporting RQ3's hypothesis: the SHAP-guided 10-feature model is not merely "not measurably worse" than the full model -- on this held-out split it is better.</w:t>
      </w:r>
      <w:r>
        <w:rPr>
          <w:color w:val="000000" w:themeColor="text1"/>
        </w:rPr>
      </w:r>
    </w:p>
    <w:tbl>
      <w:tblPr>
        <w:tblW w:w="0" w:type="auto"/>
        <w:tblBorders/>
        <w:tblLook w:val="04A0" w:firstRow="1" w:lastRow="0" w:firstColumn="1" w:lastColumn="0" w:noHBand="0" w:noVBand="1"/>
      </w:tblPr>
      <w:tblGrid>
        <w:gridCol w:w="1872"/>
        <w:gridCol w:w="1872"/>
        <w:gridCol w:w="1872"/>
        <w:gridCol w:w="1872"/>
        <w:gridCol w:w="1872"/>
      </w:tblGrid>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i w:val="0"/>
                <w:color w:val="000000" w:themeColor="text1"/>
                <w:sz w:val="24"/>
              </w:rPr>
              <w:t xml:space="preserve">Metric</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i w:val="0"/>
                <w:color w:val="000000" w:themeColor="text1"/>
                <w:sz w:val="24"/>
              </w:rPr>
              <w:t xml:space="preserve">Full Model, 0.5 threshold</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i w:val="0"/>
                <w:color w:val="000000" w:themeColor="text1"/>
                <w:sz w:val="24"/>
              </w:rPr>
              <w:t xml:space="preserve">Reduced Model, 0.5 threshold</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i w:val="0"/>
                <w:color w:val="000000" w:themeColor="text1"/>
                <w:sz w:val="24"/>
              </w:rPr>
              <w:t xml:space="preserve">Full Model, tuned (0.0967)</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i w:val="0"/>
                <w:color w:val="000000" w:themeColor="text1"/>
                <w:sz w:val="24"/>
              </w:rPr>
              <w:t xml:space="preserve">Reduced Model, tuned (0.0967)</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AUC-ROC</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0.7670</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0.8003</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0.7670</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0.8003</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Accuracy</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0.9331</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0.9331</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Precision</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0.2045</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0.2121</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Recall</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0.4286</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0.6667</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F1</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0.2769</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0.3218</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BER</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0.3454</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0.2554</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MCC</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0.2225</w:t>
            </w:r>
            <w:r>
              <w:rPr>
                <w:color w:val="000000" w:themeColor="text1"/>
              </w:rPr>
            </w:r>
          </w:p>
        </w:tc>
        <w:tc>
          <w:tcPr>
            <w:tcBorders>
              <w:top w:val="single" w:color="000000" w:sz="4" w:space="0"/>
              <w:left w:val="single" w:color="000000" w:sz="4" w:space="0"/>
              <w:bottom w:val="single" w:color="000000" w:sz="4" w:space="0"/>
              <w:right w:val="single" w:color="000000" w:sz="4" w:space="0"/>
            </w:tcBorders>
            <w:tcW w:w="1872" w:type="dxa"/>
          </w:tcPr>
          <w:p>
            <w:pPr>
              <w:pBdr/>
              <w:spacing/>
              <w:ind/>
              <w:rPr>
                <w:color w:val="000000" w:themeColor="text1"/>
              </w:rPr>
            </w:pPr>
            <w:r>
              <w:rPr>
                <w:rFonts w:ascii="Times New Roman" w:hAnsi="Times New Roman"/>
                <w:b w:val="0"/>
                <w:i w:val="0"/>
                <w:color w:val="000000" w:themeColor="text1"/>
                <w:sz w:val="24"/>
              </w:rPr>
              <w:t xml:space="preserve">0.2999</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Statistical comparison at the 0.5 threshold (paired bootstrap AUC-ROC difference = -0.0332, p = 0.5390; Cohen's h = 0.0000, p = </w:t>
      </w:r>
      <w:r>
        <w:rPr>
          <w:rFonts w:ascii="Times New Roman" w:hAnsi="Times New Roman"/>
          <w:b w:val="0"/>
          <w:i w:val="0"/>
          <w:color w:val="000000" w:themeColor="text1"/>
          <w:sz w:val="24"/>
        </w:rPr>
        <w:t xml:space="preserve">1.0000; McNemar's test degenerate) shows no significant difference between models, consistent with both collapsing to the same majority-class prediction. This result should be read alongside the caveat that these comparisons are computed on a single 314-wa</w:t>
      </w:r>
      <w:r>
        <w:rPr>
          <w:rFonts w:ascii="Times New Roman" w:hAnsi="Times New Roman"/>
          <w:b w:val="0"/>
          <w:i w:val="0"/>
          <w:color w:val="000000" w:themeColor="text1"/>
          <w:sz w:val="24"/>
        </w:rPr>
        <w:t xml:space="preserve">fer holdout with only ~21 true fail cases; the direction of the tuned-threshold finding (reduced beats full) is a genuinely interesting result, but the exact magnitude should be reported with appropriate caution given how few positive examples it rests on.</w:t>
      </w:r>
      <w:r>
        <w:rPr>
          <w:color w:val="000000" w:themeColor="text1"/>
        </w:rPr>
      </w:r>
    </w:p>
    <w:p>
      <w:pPr>
        <w:pStyle w:val="717"/>
        <w:pBdr/>
        <w:spacing/>
        <w:ind/>
        <w:rPr>
          <w:color w:val="000000" w:themeColor="text1"/>
        </w:rPr>
      </w:pPr>
      <w:r>
        <w:rPr>
          <w:rFonts w:ascii="Times New Roman" w:hAnsi="Times New Roman"/>
          <w:b w:val="0"/>
          <w:i w:val="0"/>
          <w:color w:val="000000" w:themeColor="text1"/>
          <w:sz w:val="24"/>
        </w:rPr>
        <w:t xml:space="preserve">RQ4 Results: Is TabNet's Attention Actually Trustworthy?</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Table 7 reports per-instance agreement (Spearman correlation and top-3 feature-set overlap) between each model's own explanation and SHAP, computed over the</w:t>
      </w:r>
      <w:r>
        <w:rPr>
          <w:rFonts w:ascii="Times New Roman" w:hAnsi="Times New Roman"/>
          <w:b w:val="0"/>
          <w:i w:val="0"/>
          <w:color w:val="000000" w:themeColor="text1"/>
          <w:sz w:val="24"/>
        </w:rPr>
        <w:t xml:space="preserve"> same 40 held-out wafers for both models. TabNet was trained on the raw (unscaled) reduced feature set, matching its internal handling of feature scale; the MLP control was trained on standardized features with a numerically stable loss (BCEWithLogitsLoss)</w:t>
      </w:r>
      <w:r>
        <w:rPr>
          <w:rFonts w:ascii="Times New Roman" w:hAnsi="Times New Roman"/>
          <w:b w:val="0"/>
          <w:i w:val="0"/>
          <w:color w:val="000000" w:themeColor="text1"/>
          <w:sz w:val="24"/>
        </w:rPr>
        <w:t xml:space="preserve"> and gradient clipping, after an initial run without scaling produced a diverged, non-learning network (train accuracy at chance, loss flat at ~174 for over 100 epochs) -- that run's results were discarded rather than reported, and are not reflected below.</w:t>
      </w:r>
      <w:r>
        <w:rPr>
          <w:color w:val="000000" w:themeColor="text1"/>
        </w:rPr>
      </w:r>
    </w:p>
    <w:tbl>
      <w:tblPr>
        <w:tblW w:w="0" w:type="auto"/>
        <w:tblBorders/>
        <w:tblLook w:val="04A0" w:firstRow="1" w:lastRow="0" w:firstColumn="1" w:lastColumn="0" w:noHBand="0" w:noVBand="1"/>
      </w:tblPr>
      <w:tblGrid>
        <w:gridCol w:w="2340"/>
        <w:gridCol w:w="2340"/>
        <w:gridCol w:w="2340"/>
        <w:gridCol w:w="2340"/>
      </w:tblGrid>
      <w:tr>
        <w:trPr/>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i w:val="0"/>
                <w:color w:val="000000" w:themeColor="text1"/>
                <w:sz w:val="24"/>
              </w:rPr>
              <w:t xml:space="preserve">Comparison</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i w:val="0"/>
                <w:color w:val="000000" w:themeColor="text1"/>
                <w:sz w:val="24"/>
              </w:rPr>
              <w:t xml:space="preserve">Mean Spearman Correlation with SHAP</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i w:val="0"/>
                <w:color w:val="000000" w:themeColor="text1"/>
                <w:sz w:val="24"/>
              </w:rPr>
              <w:t xml:space="preserve">Median Correlation</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i w:val="0"/>
                <w:color w:val="000000" w:themeColor="text1"/>
                <w:sz w:val="24"/>
              </w:rPr>
              <w:t xml:space="preserve">Top-3 Feature-Set Agreement</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TabNet attention vs. SHAP</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-0.1681</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-0.2571</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10.00%</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MLP Integrated Gradients vs. SHAP</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0.8479</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0.8909</w:t>
            </w:r>
            <w:r>
              <w:rPr>
                <w:color w:val="000000" w:themeColor="text1"/>
              </w:rPr>
            </w:r>
          </w:p>
        </w:tc>
        <w:tc>
          <w:tcPr>
            <w:tcBorders>
              <w:top w:val="single" w:color="000000" w:sz="4" w:space="0"/>
              <w:left w:val="single" w:color="000000" w:sz="4" w:space="0"/>
              <w:bottom w:val="single" w:color="000000" w:sz="4" w:space="0"/>
              <w:right w:val="single" w:color="000000" w:sz="4" w:space="0"/>
            </w:tcBorders>
            <w:tcW w:w="2340" w:type="dxa"/>
          </w:tcPr>
          <w:p>
            <w:pPr>
              <w:pBdr/>
              <w:spacing/>
              <w:ind/>
              <w:rPr>
                <w:color w:val="000000" w:themeColor="text1"/>
              </w:rPr>
            </w:pPr>
            <w:r>
              <w:rPr>
                <w:rFonts w:ascii="Times New Roman" w:hAnsi="Times New Roman"/>
                <w:b w:val="0"/>
                <w:i w:val="0"/>
                <w:color w:val="000000" w:themeColor="text1"/>
                <w:sz w:val="24"/>
              </w:rPr>
              <w:t xml:space="preserve">35.00%</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This is a clear, directly interpretable answer to RQ4: TabNet's built-in, attention-based expla</w:t>
      </w:r>
      <w:r>
        <w:rPr>
          <w:rFonts w:ascii="Times New Roman" w:hAnsi="Times New Roman"/>
          <w:b w:val="0"/>
          <w:i w:val="0"/>
          <w:color w:val="000000" w:themeColor="text1"/>
          <w:sz w:val="24"/>
        </w:rPr>
        <w:t xml:space="preserve">nation does not merely fail to outperform a generic post-hoc method -- it is negatively correlated with SHAP, meaning attention and SHAP frequently disagree on which features drove a given prediction. By contrast, the MLP control -- an architecture with no</w:t>
      </w:r>
      <w:r>
        <w:rPr>
          <w:rFonts w:ascii="Times New Roman" w:hAnsi="Times New Roman"/>
          <w:b w:val="0"/>
          <w:i w:val="0"/>
          <w:color w:val="000000" w:themeColor="text1"/>
          <w:sz w:val="24"/>
        </w:rPr>
        <w:t xml:space="preserve"> interpretability claim at all -- produces Integrated Gradients attributions that agree strongly with SHAP (correlation 0.85). Isolating the variable of interest (attention vs. no attention, holding "being a neural network" constant) was the explicit purpo</w:t>
      </w:r>
      <w:r>
        <w:rPr>
          <w:rFonts w:ascii="Times New Roman" w:hAnsi="Times New Roman"/>
          <w:b w:val="0"/>
          <w:i w:val="0"/>
          <w:color w:val="000000" w:themeColor="text1"/>
          <w:sz w:val="24"/>
        </w:rPr>
        <w:t xml:space="preserve">se of including the MLP control rather than comparing TabNet to SHAP alone; the result suggests TabNet's marketed interpretability advantage does not hold up under this test, at least on this dataset and feature set. This finding should be reported with th</w:t>
      </w:r>
      <w:r>
        <w:rPr>
          <w:rFonts w:ascii="Times New Roman" w:hAnsi="Times New Roman"/>
          <w:b w:val="0"/>
          <w:i w:val="0"/>
          <w:color w:val="000000" w:themeColor="text1"/>
          <w:sz w:val="24"/>
        </w:rPr>
        <w:t xml:space="preserve">e same small-sample caution as RQ2/RQ3: SHAP values for both models were computed via KernelExplainer (necessary since neither model is tree-based) on a 40-wafer subsample of the 314-wafer holdout, not the full held-out set, for computational tractability.</w:t>
      </w:r>
      <w:r>
        <w:rPr>
          <w:color w:val="000000" w:themeColor="text1"/>
        </w:rPr>
      </w:r>
    </w:p>
    <w:p>
      <w:pPr>
        <w:pStyle w:val="717"/>
        <w:pBdr/>
        <w:spacing/>
        <w:ind/>
        <w:rPr>
          <w:color w:val="000000" w:themeColor="text1"/>
        </w:rPr>
      </w:pPr>
      <w:r>
        <w:rPr>
          <w:rFonts w:ascii="Times New Roman" w:hAnsi="Times New Roman"/>
          <w:b w:val="0"/>
          <w:i w:val="0"/>
          <w:color w:val="000000" w:themeColor="text1"/>
          <w:sz w:val="24"/>
        </w:rPr>
        <w:t xml:space="preserve">Robustness Consideration Results: Isolation Forest Safety Net</w:t>
      </w:r>
      <w:r>
        <w:rPr>
          <w:color w:val="000000" w:themeColor="text1"/>
        </w:rPr>
      </w:r>
    </w:p>
    <w:p>
      <w:pPr>
        <w:pBdr/>
        <w:spacing w:line="480" w:lineRule="auto"/>
        <w:ind/>
        <w:jc w:val="both"/>
        <w:rPr>
          <w:color w:val="000000" w:themeColor="text1"/>
        </w:rPr>
      </w:pPr>
      <w:r>
        <w:rPr>
          <w:rFonts w:ascii="Times New Roman" w:hAnsi="Times New Roman"/>
          <w:b w:val="0"/>
          <w:i w:val="0"/>
          <w:color w:val="000000" w:themeColor="text1"/>
          <w:sz w:val="24"/>
        </w:rPr>
        <w:t xml:space="preserve">The Isolation Forest anomaly detector, trained on the full 432-feature set (unsupervised, never given the label) and scored on the same 314-wafer held-out split used throughout, flagged 17 wafers (5.4%) as anomalous -- close to the</w:t>
      </w:r>
      <w:r>
        <w:rPr>
          <w:rFonts w:ascii="Times New Roman" w:hAnsi="Times New Roman"/>
          <w:b w:val="0"/>
          <w:i w:val="0"/>
          <w:color w:val="000000" w:themeColor="text1"/>
          <w:sz w:val="24"/>
        </w:rPr>
        <w:t xml:space="preserve"> 6.6% contamination parameter it was configured with. Table 8 reports the concrete test this check was designed for: of the real failures the supervised reduced model still missed even at its tuned threshold, how many did the unsupervised safety net catch.</w:t>
      </w:r>
      <w:r>
        <w:rPr>
          <w:color w:val="000000" w:themeColor="text1"/>
        </w:rPr>
      </w:r>
    </w:p>
    <w:tbl>
      <w:tblPr>
        <w:tblW w:w="0" w:type="auto"/>
        <w:tblBorders/>
        <w:tblLook w:val="04A0" w:firstRow="1" w:lastRow="0" w:firstColumn="1" w:lastColumn="0" w:noHBand="0" w:noVBand="1"/>
      </w:tblPr>
      <w:tblGrid>
        <w:gridCol w:w="4680"/>
        <w:gridCol w:w="4680"/>
      </w:tblGrid>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i w:val="0"/>
                <w:color w:val="000000" w:themeColor="text1"/>
                <w:sz w:val="24"/>
              </w:rPr>
              <w:t xml:space="preserve">Metric</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i w:val="0"/>
                <w:color w:val="000000" w:themeColor="text1"/>
                <w:sz w:val="24"/>
              </w:rPr>
              <w:t xml:space="preserve">Value</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Real fails missed by supervised model (tuned threshold)</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7</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Of those, also flagged by Isolation Forest</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0</w:t>
            </w:r>
            <w:r>
              <w:rPr>
                <w:color w:val="000000" w:themeColor="text1"/>
              </w:rPr>
            </w:r>
          </w:p>
        </w:tc>
      </w:tr>
      <w:tr>
        <w:trPr/>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Anomaly detector recall on missed fails</w:t>
            </w:r>
            <w:r>
              <w:rPr>
                <w:color w:val="000000" w:themeColor="text1"/>
              </w:rPr>
            </w:r>
          </w:p>
        </w:tc>
        <w:tc>
          <w:tcPr>
            <w:tcBorders>
              <w:top w:val="single" w:color="000000" w:sz="4" w:space="0"/>
              <w:left w:val="single" w:color="000000" w:sz="4" w:space="0"/>
              <w:bottom w:val="single" w:color="000000" w:sz="4" w:space="0"/>
              <w:right w:val="single" w:color="000000" w:sz="4" w:space="0"/>
            </w:tcBorders>
            <w:tcW w:w="4680" w:type="dxa"/>
          </w:tcPr>
          <w:p>
            <w:pPr>
              <w:pBdr/>
              <w:spacing/>
              <w:ind/>
              <w:rPr>
                <w:color w:val="000000" w:themeColor="text1"/>
              </w:rPr>
            </w:pPr>
            <w:r>
              <w:rPr>
                <w:rFonts w:ascii="Times New Roman" w:hAnsi="Times New Roman"/>
                <w:b w:val="0"/>
                <w:i w:val="0"/>
                <w:color w:val="000000" w:themeColor="text1"/>
                <w:sz w:val="24"/>
              </w:rPr>
              <w:t xml:space="preserve">0.0%</w:t>
            </w:r>
            <w:r>
              <w:rPr>
                <w:color w:val="000000" w:themeColor="text1"/>
              </w:rPr>
            </w:r>
          </w:p>
        </w:tc>
      </w:tr>
    </w:tbl>
    <w:p>
      <w:pPr>
        <w:pBdr/>
        <w:spacing w:line="480" w:lineRule="auto"/>
        <w:ind/>
        <w:jc w:val="both"/>
        <w:rPr>
          <w:color w:val="000000" w:themeColor="text1"/>
        </w:rPr>
      </w:pPr>
      <w:r>
        <w:rPr>
          <w:rFonts w:ascii="Times New Roman" w:hAnsi="Times New Roman"/>
          <w:b w:val="0"/>
          <w:i w:val="0"/>
          <w:color w:val="000000" w:themeColor="text1"/>
          <w:sz w:val="24"/>
        </w:rPr>
        <w:t xml:space="preserve">This is a null result, reported honestly rather than omitted: on this held-out split, the anomaly detector did not recover any of the 7 failures the supervised model missed. This does not mean the safety-net approac</w:t>
      </w:r>
      <w:r>
        <w:rPr>
          <w:rFonts w:ascii="Times New Roman" w:hAnsi="Times New Roman"/>
          <w:b w:val="0"/>
          <w:i w:val="0"/>
          <w:color w:val="000000" w:themeColor="text1"/>
          <w:sz w:val="24"/>
        </w:rPr>
        <w:t xml:space="preserve">h is without merit -- with only 7 missed cases in this particular split, the check has very little statistical power to demonstrate recovery even if the underlying approach has some value, and a different held-out split or a larger sample of missed cases c</w:t>
      </w:r>
      <w:r>
        <w:rPr>
          <w:rFonts w:ascii="Times New Roman" w:hAnsi="Times New Roman"/>
          <w:b w:val="0"/>
          <w:i w:val="0"/>
          <w:color w:val="000000" w:themeColor="text1"/>
          <w:sz w:val="24"/>
        </w:rPr>
        <w:t xml:space="preserve">ould plausibly show a different result. It does mean this specific run provides no evidence that the anomaly detector adds value beyond the supervised pipeline, which is itself worth stating plainly rather than implying a benefit the data does not support.</w:t>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Recommendation and Application</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The target user for this project's output is the process/yield engineering team and fab operations management responsible f</w:t>
      </w:r>
      <w:r>
        <w:rPr>
          <w:rFonts w:ascii="Times New Roman" w:hAnsi="Times New Roman" w:eastAsia="Times New Roman" w:cs="Times New Roman"/>
          <w:color w:val="000000" w:themeColor="text1"/>
          <w:sz w:val="24"/>
          <w:szCs w:val="24"/>
        </w:rPr>
        <w:t xml:space="preserve">or in-line quality decisions — the audience that needs both a pass/fail prediction and a defensible, sensor-level explanation before acting on it. A secondary audience is data science/MLOps teams evaluating whether an explainable, feature-reduced model is </w:t>
      </w:r>
      <w:r>
        <w:rPr>
          <w:rFonts w:ascii="Times New Roman" w:hAnsi="Times New Roman" w:eastAsia="Times New Roman" w:cs="Times New Roman"/>
          <w:color w:val="000000" w:themeColor="text1"/>
          <w:sz w:val="24"/>
          <w:szCs w:val="24"/>
        </w:rPr>
        <w:t xml:space="preserve">lightweight enough to deploy as a real-time virtual metrology service on the fab floor. The reduced-feature, SHAP-validated model produced by this study is intended as a proof-of-concept template for that deployment decision, not a production-ready system.</w:t>
      </w:r>
      <w:r>
        <w:rPr>
          <w:color w:val="000000" w:themeColor="text1"/>
        </w:rPr>
      </w:r>
    </w:p>
    <w:p>
      <w:pPr>
        <w:pBdr/>
        <w:spacing w:line="480" w:lineRule="auto"/>
        <w:ind/>
        <w:jc w:val="both"/>
        <w:rPr>
          <w:color w:val="000000" w:themeColor="text1"/>
        </w:rPr>
      </w:pPr>
      <w:r>
        <w:rPr>
          <w:rFonts w:ascii="Times New Roman" w:hAnsi="Times New Roman" w:eastAsia="Times New Roman" w:cs="Times New Roman"/>
          <w:color w:val="000000" w:themeColor="text1"/>
          <w:sz w:val="24"/>
          <w:szCs w:val="24"/>
        </w:rPr>
        <w:t xml:space="preserve">Beyond the immediate scope of this capstone, two recommendations follow directly from the feature-reduction trade-off discussed above and are proposed as future work rather than deliverables of this study. First, as the</w:t>
      </w:r>
      <w:r>
        <w:rPr>
          <w:rFonts w:ascii="Times New Roman" w:hAnsi="Times New Roman" w:eastAsia="Times New Roman" w:cs="Times New Roman"/>
          <w:color w:val="000000" w:themeColor="text1"/>
          <w:sz w:val="24"/>
          <w:szCs w:val="24"/>
        </w:rPr>
        <w:t xml:space="preserve"> fab accumulates more labeled wafers over time — particularly additional fail and near-miss cases — the events-per-variable budget that currently caps the model at ~10 features would expand accordingly, and the feature-selection step should be revisited ra</w:t>
      </w:r>
      <w:r>
        <w:rPr>
          <w:rFonts w:ascii="Times New Roman" w:hAnsi="Times New Roman" w:eastAsia="Times New Roman" w:cs="Times New Roman"/>
          <w:color w:val="000000" w:themeColor="text1"/>
          <w:sz w:val="24"/>
          <w:szCs w:val="24"/>
        </w:rPr>
        <w:t xml:space="preserve">ther than treated as permanent; SMOTE-based augmentation (Chawla et al., 2002) partially eases this constraint today, but real additional labeled data would ease it further. Second, the reduced feature set should be recomputed on a rolling basis (e.g., qua</w:t>
      </w:r>
      <w:r>
        <w:rPr>
          <w:rFonts w:ascii="Times New Roman" w:hAnsi="Times New Roman" w:eastAsia="Times New Roman" w:cs="Times New Roman"/>
          <w:color w:val="000000" w:themeColor="text1"/>
          <w:sz w:val="24"/>
          <w:szCs w:val="24"/>
        </w:rPr>
        <w:t xml:space="preserve">rterly) as new data accumulates, explicitly acknowledging that the features most predictive today may not surface tomorrow's novel defect mode; the watch-list mechanism proposed under RQ3 gives engineers a starting point for what to monitor in the interim.</w:t>
      </w:r>
      <w:r>
        <w:rPr>
          <w:color w:val="000000" w:themeColor="text1"/>
        </w:rPr>
      </w:r>
    </w:p>
    <w:p>
      <w:pPr>
        <w:pStyle w:val="716"/>
        <w:pBdr/>
        <w:spacing w:after="120" w:before="240" w:line="480" w:lineRule="auto"/>
        <w:ind/>
        <w:rPr>
          <w:color w:val="000000" w:themeColor="text1"/>
        </w:rPr>
      </w:pPr>
      <w:r>
        <w:rPr>
          <w:rFonts w:ascii="Times New Roman" w:hAnsi="Times New Roman" w:eastAsia="Times New Roman" w:cs="Times New Roman"/>
          <w:b/>
          <w:bCs/>
          <w:color w:val="000000" w:themeColor="text1"/>
          <w:sz w:val="24"/>
          <w:szCs w:val="24"/>
        </w:rPr>
        <w:t xml:space="preserve">References and Bibliography</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Alvarez-Melis, D., &amp; Jaakkola, T. S. (2018). On the robustness of interpretability methods. arXiv preprint arXiv:1806.08049.</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Apley, D. W., &amp; Zhu, J. (2020). Visualizing the effects of predictor variables in black box supervised learning models. Journal of the Royal Statistical Society: Series B, 82(4), 1059-1086.</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Arik, S. Ö., &amp; Pfister, T. (2021). TabNet: Attentive interpretable tabular learning. Proceedings of the AAAI Conference on Artificial Intelligence, 35(8), 6679-6687.</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Chawla, N. V., Bowyer, K. W., Hall, L. O., &amp; Kegelmeyer, W. P. (2002). SMOTE: Synthetic minority over-sampling technique. Journal of Artificial Intelligence Research, 16, 321-357.</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Chen, T., &amp; Guestrin, C. (2016). XGBoost: A scalable tree boosting system. Proceedings of the 22nd ACM SIGKDD International Conference on Knowledge Discovery and Data Mining, 785-794.</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Chicco, D., &amp; Jurman, G. (2020). The advantages of the Matthews correlation coefficient (MCC) over F1 score and accuracy in binary classification evaluation. BMC Genomics, 21(1), Article 6.</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Hanley, J. A., &amp; McNeil, B. J. (1982). The meaning and use of the area under a receiver operating characteristic (ROC) curve. Radiology, 143(1), 29-36.</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Jolliffe, I. T. (2002). Principal component analysis (2nd ed.). Springer.</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Liu, F. T., Ting, K. M., &amp; Zhou, Z.-H. (2008). Isolation forest. Proceedings of the 8th IEEE International Conference on Data Mining (ICDM), 413-422.</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Lundberg, S. M., Erion, G. G., &amp; Lee, S. I. (2018). Consistent individualized feature attribution for tree ensembles. arXiv preprint arXiv:1802.03888.</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Lundberg, S. M., &amp; Lee, S. I. (2017). A unified approach to interpreting model predictions. Advances in Neural Information Processing Systems, 30, 4765-4774.</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McCann, M., &amp; Johnston, A. (2008). SECOM [Dataset]. UCI Machine Learning Repository. https://doi.org/10.24432/C54305</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Moyne, J., &amp; Iskandar, J. (2017). Big data analytics for smart manufacturing: Case studies in semiconductor manufacturing. Processes, 5(3), Article 39.</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Peduzzi, P., Concato, J., Kemper, E., Holford, T. R., &amp; Feinstein, A. R. (1996). A simulation study of the number of events per variable in logistic regression analysis. Journal of Clinical Epidemiology, 49(12), 1373-1379.</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Ribeiro, M. T., Singh, S., &amp; Guestrin, C. (2016). "Why should I trust you?": Explaining the predictions of any classifier. Proceedings of the 22nd ACM SIGKDD International Conference on Knowledge Discovery and Data Mining, 1135-1144.</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Saabas, A. (2014). Interpreting random forests. https://blog.datadive.net/interpreting-random-forests/</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Slack, D., Hilgard, S., Jia, E., Singh, S., &amp; Lakkaraju, H. (2020). Fooling LIME and SHAP: Adversarial attacks on post hoc explanation methods. Proceedings of the AAAI/ACM Conference on AI, Ethics, and Society, 180-186.</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Sundararajan, M., Taly, A., &amp; Yan, Q. (2017). Axiomatic attribution for deep networks. Proceedings of the 34th International Conference on Machine Learning, 3319-3328.</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Susto, G. A., Schirru, A., Pampuri, S., McLoone, S., &amp; Beghi, A. (2015). Machine learning for predictive maintenance: A multiple classifier approach. IEEE Transactions on Industrial Informatics, 11(3), 812-820.</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Tibshirani, R. (1996). Regression shrinkage and selection via the lasso. Journal of the Royal Statistical Society: Series B, 58(1), 267-288.</w:t>
      </w:r>
      <w:r>
        <w:rPr>
          <w:color w:val="000000" w:themeColor="text1"/>
        </w:rPr>
      </w:r>
    </w:p>
    <w:p>
      <w:pPr>
        <w:pBdr/>
        <w:spacing w:line="480" w:lineRule="auto"/>
        <w:ind w:hanging="720" w:left="720"/>
        <w:rPr>
          <w:color w:val="000000" w:themeColor="text1"/>
        </w:rPr>
      </w:pPr>
      <w:r>
        <w:rPr>
          <w:rFonts w:ascii="Times New Roman" w:hAnsi="Times New Roman" w:eastAsia="Times New Roman" w:cs="Times New Roman"/>
          <w:color w:val="000000" w:themeColor="text1"/>
          <w:sz w:val="24"/>
          <w:szCs w:val="24"/>
        </w:rPr>
        <w:t xml:space="preserve">Zhai, W., Shi, X., Wong, Y. D., Han, Q., &amp; Chen, L. (2024). Explainable AutoML (xAutoML) with adaptive modeling for yield enhancement in semiconductor smart manufacturing. arXiv preprint arXiv:2403.12381.</w:t>
      </w:r>
      <w:r>
        <w:rPr>
          <w:color w:val="000000" w:themeColor="text1"/>
        </w:rPr>
      </w:r>
    </w:p>
    <w:sectPr>
      <w:head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sz w:val="24"/>
        <w:szCs w:val="24"/>
      </w:rPr>
      <w:fldChar w:fldCharType="begin"/>
      <w:instrText xml:space="preserve">PAGE</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9"/>
    <w:uiPriority w:val="9"/>
    <w:pPr>
      <w:pBdr/>
      <w:spacing/>
      <w:ind/>
    </w:pPr>
    <w:rPr>
      <w:rFonts w:ascii="Arial" w:hAnsi="Arial" w:eastAsia="Arial" w:cs="Arial"/>
      <w:i/>
      <w:iCs/>
      <w:color w:val="0f4761" w:themeColor="accent1" w:themeShade="BF"/>
    </w:rPr>
  </w:style>
  <w:style w:type="character" w:styleId="154">
    <w:name w:val="Heading 5 Char"/>
    <w:basedOn w:val="148"/>
    <w:link w:val="720"/>
    <w:uiPriority w:val="9"/>
    <w:pPr>
      <w:pBdr/>
      <w:spacing/>
      <w:ind/>
    </w:pPr>
    <w:rPr>
      <w:rFonts w:ascii="Arial" w:hAnsi="Arial" w:eastAsia="Arial" w:cs="Arial"/>
      <w:color w:val="0f4761" w:themeColor="accent1" w:themeShade="BF"/>
    </w:rPr>
  </w:style>
  <w:style w:type="character" w:styleId="155">
    <w:name w:val="Heading 6 Char"/>
    <w:basedOn w:val="148"/>
    <w:link w:val="72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5">
    <w:name w:val="Title"/>
    <w:qFormat/>
    <w:pPr>
      <w:pBdr/>
      <w:spacing/>
      <w:ind/>
    </w:pPr>
    <w:rPr>
      <w:sz w:val="56"/>
      <w:szCs w:val="56"/>
    </w:rPr>
  </w:style>
  <w:style w:type="paragraph" w:styleId="716">
    <w:name w:val="Heading 1"/>
    <w:qFormat/>
    <w:pPr>
      <w:pBdr/>
      <w:spacing/>
      <w:ind/>
    </w:pPr>
    <w:rPr>
      <w:color w:val="2e74b5"/>
      <w:sz w:val="32"/>
      <w:szCs w:val="32"/>
    </w:rPr>
  </w:style>
  <w:style w:type="paragraph" w:styleId="717">
    <w:name w:val="Heading 2"/>
    <w:qFormat/>
    <w:pPr>
      <w:pBdr/>
      <w:spacing/>
      <w:ind/>
    </w:pPr>
    <w:rPr>
      <w:color w:val="2e74b5"/>
      <w:sz w:val="26"/>
      <w:szCs w:val="26"/>
    </w:rPr>
  </w:style>
  <w:style w:type="paragraph" w:styleId="718">
    <w:name w:val="Heading 3"/>
    <w:qFormat/>
    <w:pPr>
      <w:pBdr/>
      <w:spacing/>
      <w:ind/>
    </w:pPr>
    <w:rPr>
      <w:color w:val="1f4d78"/>
      <w:sz w:val="24"/>
      <w:szCs w:val="24"/>
    </w:rPr>
  </w:style>
  <w:style w:type="paragraph" w:styleId="719">
    <w:name w:val="Heading 4"/>
    <w:qFormat/>
    <w:pPr>
      <w:pBdr/>
      <w:spacing/>
      <w:ind/>
    </w:pPr>
    <w:rPr>
      <w:i/>
      <w:iCs/>
      <w:color w:val="2e74b5"/>
    </w:rPr>
  </w:style>
  <w:style w:type="paragraph" w:styleId="720">
    <w:name w:val="Heading 5"/>
    <w:qFormat/>
    <w:pPr>
      <w:pBdr/>
      <w:spacing/>
      <w:ind/>
    </w:pPr>
    <w:rPr>
      <w:color w:val="2e74b5"/>
    </w:rPr>
  </w:style>
  <w:style w:type="paragraph" w:styleId="721">
    <w:name w:val="Heading 6"/>
    <w:qFormat/>
    <w:pPr>
      <w:pBdr/>
      <w:spacing/>
      <w:ind/>
    </w:pPr>
    <w:rPr>
      <w:color w:val="1f4d78"/>
    </w:rPr>
  </w:style>
  <w:style w:type="paragraph" w:styleId="722">
    <w:name w:val="Strong"/>
    <w:qFormat/>
    <w:pPr>
      <w:pBdr/>
      <w:spacing/>
      <w:ind/>
    </w:pPr>
    <w:rPr>
      <w:b/>
      <w:bCs/>
    </w:rPr>
  </w:style>
  <w:style w:type="paragraph" w:styleId="723">
    <w:name w:val="List Paragraph"/>
    <w:qFormat/>
    <w:pPr>
      <w:pBdr/>
      <w:spacing/>
      <w:ind/>
    </w:pPr>
  </w:style>
  <w:style w:type="character" w:styleId="724">
    <w:name w:val="Hyperlink"/>
    <w:uiPriority w:val="99"/>
    <w:unhideWhenUsed/>
    <w:pPr>
      <w:pBdr/>
      <w:spacing/>
      <w:ind/>
    </w:pPr>
    <w:rPr>
      <w:color w:val="0563c1"/>
      <w:u w:val="single"/>
    </w:rPr>
  </w:style>
  <w:style w:type="character" w:styleId="725">
    <w:name w:val="footnote reference"/>
    <w:uiPriority w:val="99"/>
    <w:semiHidden/>
    <w:unhideWhenUsed/>
    <w:pPr>
      <w:pBdr/>
      <w:spacing/>
      <w:ind/>
    </w:pPr>
    <w:rPr>
      <w:vertAlign w:val="superscript"/>
    </w:rPr>
  </w:style>
  <w:style w:type="paragraph" w:styleId="726">
    <w:name w:val="footnote text"/>
    <w:link w:val="727"/>
    <w:uiPriority w:val="99"/>
    <w:semiHidden/>
    <w:unhideWhenUsed/>
    <w:pPr>
      <w:pBdr/>
      <w:spacing w:after="0" w:line="240" w:lineRule="auto"/>
      <w:ind/>
    </w:pPr>
    <w:rPr>
      <w:sz w:val="20"/>
      <w:szCs w:val="20"/>
    </w:rPr>
  </w:style>
  <w:style w:type="character" w:styleId="727">
    <w:name w:val="Footnote Text Char"/>
    <w:link w:val="726"/>
    <w:uiPriority w:val="99"/>
    <w:semiHidden/>
    <w:unhideWhenUsed/>
    <w:pPr>
      <w:pBdr/>
      <w:spacing/>
      <w:ind/>
    </w:pPr>
    <w:rPr>
      <w:sz w:val="20"/>
      <w:szCs w:val="20"/>
    </w:rPr>
  </w:style>
  <w:style w:type="character" w:styleId="728">
    <w:name w:val="endnote reference"/>
    <w:uiPriority w:val="99"/>
    <w:semiHidden/>
    <w:unhideWhenUsed/>
    <w:pPr>
      <w:pBdr/>
      <w:spacing/>
      <w:ind/>
    </w:pPr>
    <w:rPr>
      <w:vertAlign w:val="superscript"/>
    </w:rPr>
  </w:style>
  <w:style w:type="paragraph" w:styleId="729">
    <w:name w:val="endnote text"/>
    <w:link w:val="730"/>
    <w:uiPriority w:val="99"/>
    <w:semiHidden/>
    <w:unhideWhenUsed/>
    <w:pPr>
      <w:pBdr/>
      <w:spacing w:after="0" w:line="240" w:lineRule="auto"/>
      <w:ind/>
    </w:pPr>
    <w:rPr>
      <w:sz w:val="20"/>
      <w:szCs w:val="20"/>
    </w:rPr>
  </w:style>
  <w:style w:type="character" w:styleId="730">
    <w:name w:val="Endnote Text Char"/>
    <w:link w:val="72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2026-07-26T18:32:04Z</dcterms:created>
  <dcterms:modified xsi:type="dcterms:W3CDTF">2026-08-04T16:34:00Z</dcterms:modified>
</cp:coreProperties>
</file>