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788B1">
      <w:pPr>
        <w:spacing w:line="520" w:lineRule="exact"/>
        <w:rPr>
          <w:rFonts w:ascii="黑体" w:eastAsia="黑体"/>
          <w:bCs/>
          <w:kern w:val="0"/>
          <w:sz w:val="48"/>
          <w:szCs w:val="48"/>
        </w:rPr>
      </w:pPr>
      <w:r>
        <w:rPr>
          <w:rFonts w:ascii="黑体" w:eastAsia="黑体"/>
          <w:sz w:val="44"/>
          <w:szCs w:val="44"/>
        </w:rPr>
        <w:drawing>
          <wp:anchor distT="0" distB="0" distL="0" distR="0" simplePos="0" relativeHeight="251659264" behindDoc="0" locked="0" layoutInCell="1" allowOverlap="1">
            <wp:simplePos x="0" y="0"/>
            <wp:positionH relativeFrom="margin">
              <wp:align>center</wp:align>
            </wp:positionH>
            <wp:positionV relativeFrom="paragraph">
              <wp:posOffset>243840</wp:posOffset>
            </wp:positionV>
            <wp:extent cx="3629025" cy="554355"/>
            <wp:effectExtent l="0" t="0" r="0" b="0"/>
            <wp:wrapTopAndBottom/>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4" cstate="print"/>
                    <a:srcRect/>
                    <a:stretch>
                      <a:fillRect/>
                    </a:stretch>
                  </pic:blipFill>
                  <pic:spPr>
                    <a:xfrm>
                      <a:off x="0" y="0"/>
                      <a:ext cx="3628800" cy="554400"/>
                    </a:xfrm>
                    <a:prstGeom prst="rect">
                      <a:avLst/>
                    </a:prstGeom>
                    <a:ln>
                      <a:noFill/>
                    </a:ln>
                  </pic:spPr>
                </pic:pic>
              </a:graphicData>
            </a:graphic>
          </wp:anchor>
        </w:drawing>
      </w:r>
      <w:r>
        <w:rPr>
          <w:rFonts w:hint="eastAsia" w:ascii="黑体" w:eastAsia="黑体"/>
          <w:bCs/>
          <w:kern w:val="0"/>
          <w:sz w:val="48"/>
          <w:szCs w:val="48"/>
        </w:rPr>
        <w:t xml:space="preserve">       </w:t>
      </w:r>
    </w:p>
    <w:p w14:paraId="77E3D327">
      <w:pPr>
        <w:jc w:val="center"/>
        <w:rPr>
          <w:rFonts w:ascii="黑体" w:eastAsia="黑体"/>
          <w:bCs/>
          <w:kern w:val="0"/>
          <w:sz w:val="52"/>
          <w:szCs w:val="52"/>
        </w:rPr>
      </w:pPr>
      <w:r>
        <w:rPr>
          <w:rFonts w:hint="eastAsia" w:ascii="黑体" w:eastAsia="黑体"/>
          <w:bCs/>
          <w:kern w:val="0"/>
          <w:sz w:val="52"/>
          <w:szCs w:val="52"/>
        </w:rPr>
        <w:t>毕业设计（论文）开题报告</w:t>
      </w:r>
    </w:p>
    <w:tbl>
      <w:tblPr>
        <w:tblStyle w:val="13"/>
        <w:tblW w:w="83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3"/>
        <w:gridCol w:w="6096"/>
      </w:tblGrid>
      <w:tr w14:paraId="2C7D3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1" w:hRule="atLeast"/>
          <w:jc w:val="center"/>
        </w:trPr>
        <w:tc>
          <w:tcPr>
            <w:tcW w:w="2263" w:type="dxa"/>
            <w:vAlign w:val="center"/>
          </w:tcPr>
          <w:p w14:paraId="7A286BBC">
            <w:pPr>
              <w:jc w:val="center"/>
              <w:rPr>
                <w:rFonts w:ascii="黑体" w:hAnsi="黑体" w:eastAsia="黑体"/>
                <w:sz w:val="44"/>
                <w:szCs w:val="44"/>
                <w:u w:val="single"/>
              </w:rPr>
            </w:pPr>
            <w:r>
              <w:rPr>
                <w:rFonts w:hint="eastAsia" w:ascii="黑体" w:hAnsi="黑体" w:eastAsia="黑体"/>
                <w:sz w:val="44"/>
                <w:szCs w:val="44"/>
              </w:rPr>
              <w:t>题   目</w:t>
            </w:r>
          </w:p>
        </w:tc>
        <w:tc>
          <w:tcPr>
            <w:tcW w:w="6096" w:type="dxa"/>
            <w:vAlign w:val="center"/>
          </w:tcPr>
          <w:p w14:paraId="7BBA1323">
            <w:pPr>
              <w:jc w:val="center"/>
              <w:rPr>
                <w:rFonts w:ascii="黑体" w:hAnsi="黑体" w:eastAsia="黑体"/>
                <w:sz w:val="44"/>
                <w:szCs w:val="44"/>
                <w:u w:val="single"/>
              </w:rPr>
            </w:pPr>
            <w:r>
              <w:rPr>
                <w:rFonts w:hint="eastAsia" w:ascii="黑体" w:hAnsi="黑体" w:eastAsia="黑体"/>
                <w:sz w:val="44"/>
                <w:szCs w:val="44"/>
                <w:u w:val="single"/>
              </w:rPr>
              <w:t>AI赋能的高校教务系统</w:t>
            </w:r>
          </w:p>
        </w:tc>
      </w:tr>
    </w:tbl>
    <w:p w14:paraId="59F6252A"/>
    <w:tbl>
      <w:tblPr>
        <w:tblStyle w:val="12"/>
        <w:tblW w:w="807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01"/>
        <w:gridCol w:w="6374"/>
      </w:tblGrid>
      <w:tr w14:paraId="3CB66A8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52FCB38B">
            <w:pPr>
              <w:wordWrap w:val="0"/>
              <w:ind w:left="-60"/>
              <w:jc w:val="right"/>
              <w:rPr>
                <w:rFonts w:ascii="黑体" w:hAnsi="黑体" w:eastAsia="黑体"/>
                <w:sz w:val="30"/>
                <w:szCs w:val="30"/>
              </w:rPr>
            </w:pPr>
            <w:r>
              <w:rPr>
                <w:rFonts w:hint="eastAsia" w:ascii="黑体" w:hAnsi="黑体" w:eastAsia="黑体"/>
                <w:sz w:val="30"/>
                <w:szCs w:val="30"/>
              </w:rPr>
              <w:t>学生姓名：</w:t>
            </w:r>
          </w:p>
        </w:tc>
        <w:tc>
          <w:tcPr>
            <w:tcW w:w="6374" w:type="dxa"/>
            <w:tcBorders>
              <w:top w:val="nil"/>
              <w:left w:val="nil"/>
              <w:bottom w:val="single" w:color="auto" w:sz="12" w:space="0"/>
              <w:right w:val="nil"/>
            </w:tcBorders>
            <w:vAlign w:val="center"/>
          </w:tcPr>
          <w:p w14:paraId="4380BBEE">
            <w:pPr>
              <w:jc w:val="center"/>
              <w:rPr>
                <w:rFonts w:ascii="黑体" w:hAnsi="黑体" w:eastAsia="黑体"/>
                <w:sz w:val="28"/>
                <w:szCs w:val="28"/>
              </w:rPr>
            </w:pPr>
            <w:r>
              <w:rPr>
                <w:rFonts w:hint="eastAsia" w:ascii="黑体" w:hAnsi="黑体" w:eastAsia="黑体"/>
                <w:sz w:val="28"/>
                <w:szCs w:val="28"/>
              </w:rPr>
              <w:t>王佳齐</w:t>
            </w:r>
          </w:p>
        </w:tc>
      </w:tr>
      <w:tr w14:paraId="3267FC6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3D21D1C7">
            <w:pPr>
              <w:wordWrap w:val="0"/>
              <w:ind w:left="-60"/>
              <w:jc w:val="right"/>
              <w:rPr>
                <w:rFonts w:ascii="黑体" w:hAnsi="黑体" w:eastAsia="黑体"/>
                <w:sz w:val="30"/>
                <w:szCs w:val="30"/>
              </w:rPr>
            </w:pPr>
            <w:r>
              <w:rPr>
                <w:rFonts w:hint="eastAsia" w:ascii="黑体" w:hAnsi="黑体" w:eastAsia="黑体"/>
                <w:sz w:val="30"/>
                <w:szCs w:val="30"/>
              </w:rPr>
              <w:t>学    号：</w:t>
            </w:r>
          </w:p>
        </w:tc>
        <w:tc>
          <w:tcPr>
            <w:tcW w:w="6374" w:type="dxa"/>
            <w:tcBorders>
              <w:top w:val="nil"/>
              <w:left w:val="nil"/>
              <w:bottom w:val="single" w:color="auto" w:sz="12" w:space="0"/>
              <w:right w:val="nil"/>
            </w:tcBorders>
            <w:vAlign w:val="center"/>
          </w:tcPr>
          <w:p w14:paraId="5579881F">
            <w:pPr>
              <w:jc w:val="center"/>
              <w:rPr>
                <w:rFonts w:ascii="黑体" w:hAnsi="黑体" w:eastAsia="黑体"/>
                <w:sz w:val="28"/>
                <w:szCs w:val="28"/>
              </w:rPr>
            </w:pPr>
            <w:r>
              <w:rPr>
                <w:rFonts w:hint="eastAsia" w:ascii="黑体" w:hAnsi="黑体" w:eastAsia="黑体"/>
                <w:sz w:val="28"/>
                <w:szCs w:val="28"/>
              </w:rPr>
              <w:t>2405273202</w:t>
            </w:r>
          </w:p>
        </w:tc>
      </w:tr>
      <w:tr w14:paraId="59D808B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5A49FD63">
            <w:pPr>
              <w:ind w:left="-60"/>
              <w:jc w:val="right"/>
              <w:rPr>
                <w:rFonts w:ascii="黑体" w:hAnsi="黑体" w:eastAsia="黑体"/>
                <w:sz w:val="30"/>
                <w:szCs w:val="30"/>
              </w:rPr>
            </w:pPr>
            <w:r>
              <w:rPr>
                <w:rFonts w:hint="eastAsia" w:ascii="黑体" w:hAnsi="黑体" w:eastAsia="黑体"/>
                <w:sz w:val="30"/>
                <w:szCs w:val="30"/>
              </w:rPr>
              <w:t>学    院：</w:t>
            </w:r>
          </w:p>
        </w:tc>
        <w:tc>
          <w:tcPr>
            <w:tcW w:w="6374" w:type="dxa"/>
            <w:tcBorders>
              <w:top w:val="single" w:color="auto" w:sz="12" w:space="0"/>
              <w:left w:val="nil"/>
              <w:bottom w:val="single" w:color="auto" w:sz="12" w:space="0"/>
              <w:right w:val="nil"/>
            </w:tcBorders>
            <w:vAlign w:val="center"/>
          </w:tcPr>
          <w:p w14:paraId="638AAB3C">
            <w:pPr>
              <w:jc w:val="center"/>
              <w:rPr>
                <w:rFonts w:ascii="黑体" w:hAnsi="黑体" w:eastAsia="黑体"/>
                <w:sz w:val="28"/>
                <w:szCs w:val="28"/>
              </w:rPr>
            </w:pPr>
            <w:r>
              <w:rPr>
                <w:rFonts w:hint="eastAsia" w:ascii="黑体" w:hAnsi="黑体" w:eastAsia="黑体"/>
                <w:sz w:val="28"/>
                <w:szCs w:val="28"/>
              </w:rPr>
              <w:t>计算机与软件学院</w:t>
            </w:r>
          </w:p>
        </w:tc>
      </w:tr>
      <w:tr w14:paraId="5744E5A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4FD25DB8">
            <w:pPr>
              <w:ind w:left="-60"/>
              <w:jc w:val="right"/>
              <w:rPr>
                <w:rFonts w:ascii="黑体" w:hAnsi="黑体" w:eastAsia="黑体"/>
                <w:bCs/>
                <w:sz w:val="30"/>
                <w:szCs w:val="30"/>
              </w:rPr>
            </w:pPr>
            <w:r>
              <w:rPr>
                <w:rFonts w:hint="eastAsia" w:ascii="黑体" w:hAnsi="黑体" w:eastAsia="黑体"/>
                <w:bCs/>
                <w:sz w:val="30"/>
                <w:szCs w:val="30"/>
              </w:rPr>
              <w:t>专    业</w:t>
            </w:r>
            <w:r>
              <w:rPr>
                <w:rFonts w:hint="eastAsia" w:ascii="黑体" w:hAnsi="黑体" w:eastAsia="黑体"/>
                <w:sz w:val="30"/>
                <w:szCs w:val="30"/>
              </w:rPr>
              <w:t>：</w:t>
            </w:r>
          </w:p>
        </w:tc>
        <w:tc>
          <w:tcPr>
            <w:tcW w:w="6374" w:type="dxa"/>
            <w:tcBorders>
              <w:top w:val="single" w:color="auto" w:sz="12" w:space="0"/>
              <w:left w:val="nil"/>
              <w:bottom w:val="single" w:color="auto" w:sz="12" w:space="0"/>
              <w:right w:val="nil"/>
            </w:tcBorders>
            <w:vAlign w:val="center"/>
          </w:tcPr>
          <w:p w14:paraId="54623981">
            <w:pPr>
              <w:jc w:val="center"/>
              <w:rPr>
                <w:rFonts w:ascii="黑体" w:hAnsi="黑体" w:eastAsia="黑体"/>
                <w:sz w:val="28"/>
                <w:szCs w:val="28"/>
              </w:rPr>
            </w:pPr>
            <w:r>
              <w:rPr>
                <w:rFonts w:hint="eastAsia" w:ascii="黑体" w:hAnsi="黑体" w:eastAsia="黑体"/>
                <w:sz w:val="28"/>
                <w:szCs w:val="28"/>
              </w:rPr>
              <w:t>工业互联网技术</w:t>
            </w:r>
          </w:p>
        </w:tc>
      </w:tr>
      <w:tr w14:paraId="4F86736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092AFEB4">
            <w:pPr>
              <w:ind w:left="-60"/>
              <w:jc w:val="right"/>
              <w:rPr>
                <w:rFonts w:ascii="黑体" w:hAnsi="黑体" w:eastAsia="黑体"/>
                <w:bCs/>
                <w:sz w:val="30"/>
                <w:szCs w:val="30"/>
              </w:rPr>
            </w:pPr>
            <w:r>
              <w:rPr>
                <w:rFonts w:hint="eastAsia" w:ascii="黑体" w:hAnsi="黑体" w:eastAsia="黑体"/>
                <w:bCs/>
                <w:sz w:val="30"/>
                <w:szCs w:val="30"/>
              </w:rPr>
              <w:t>班    级：</w:t>
            </w:r>
          </w:p>
        </w:tc>
        <w:tc>
          <w:tcPr>
            <w:tcW w:w="6374" w:type="dxa"/>
            <w:tcBorders>
              <w:top w:val="single" w:color="auto" w:sz="12" w:space="0"/>
              <w:left w:val="nil"/>
              <w:bottom w:val="single" w:color="auto" w:sz="12" w:space="0"/>
              <w:right w:val="nil"/>
            </w:tcBorders>
            <w:vAlign w:val="center"/>
          </w:tcPr>
          <w:p w14:paraId="5179FA5C">
            <w:pPr>
              <w:jc w:val="center"/>
              <w:rPr>
                <w:rFonts w:ascii="黑体" w:hAnsi="黑体" w:eastAsia="黑体"/>
                <w:sz w:val="28"/>
                <w:szCs w:val="28"/>
              </w:rPr>
            </w:pPr>
            <w:r>
              <w:rPr>
                <w:rFonts w:hint="eastAsia" w:ascii="黑体" w:hAnsi="黑体" w:eastAsia="黑体"/>
                <w:sz w:val="28"/>
                <w:szCs w:val="28"/>
              </w:rPr>
              <w:t>互联2432</w:t>
            </w:r>
          </w:p>
        </w:tc>
      </w:tr>
      <w:tr w14:paraId="672F08D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7405803E">
            <w:pPr>
              <w:ind w:left="-60"/>
              <w:jc w:val="right"/>
              <w:rPr>
                <w:rFonts w:ascii="黑体" w:hAnsi="黑体" w:eastAsia="黑体"/>
                <w:bCs/>
                <w:sz w:val="30"/>
                <w:szCs w:val="30"/>
              </w:rPr>
            </w:pPr>
            <w:r>
              <w:rPr>
                <w:rFonts w:hint="eastAsia" w:ascii="黑体" w:hAnsi="黑体" w:eastAsia="黑体"/>
                <w:bCs/>
                <w:sz w:val="30"/>
                <w:szCs w:val="30"/>
              </w:rPr>
              <w:t>指导教师：</w:t>
            </w:r>
          </w:p>
        </w:tc>
        <w:tc>
          <w:tcPr>
            <w:tcW w:w="6374" w:type="dxa"/>
            <w:tcBorders>
              <w:top w:val="single" w:color="auto" w:sz="12" w:space="0"/>
              <w:left w:val="nil"/>
              <w:bottom w:val="single" w:color="auto" w:sz="12" w:space="0"/>
              <w:right w:val="nil"/>
            </w:tcBorders>
            <w:vAlign w:val="center"/>
          </w:tcPr>
          <w:p w14:paraId="1215BE37">
            <w:pPr>
              <w:jc w:val="center"/>
              <w:rPr>
                <w:rFonts w:ascii="黑体" w:hAnsi="黑体" w:eastAsia="黑体"/>
                <w:sz w:val="28"/>
                <w:szCs w:val="28"/>
              </w:rPr>
            </w:pPr>
            <w:r>
              <w:rPr>
                <w:rFonts w:hint="eastAsia" w:ascii="黑体" w:hAnsi="黑体" w:eastAsia="黑体"/>
                <w:sz w:val="28"/>
                <w:szCs w:val="28"/>
              </w:rPr>
              <w:t>张锦辉</w:t>
            </w:r>
          </w:p>
        </w:tc>
      </w:tr>
      <w:tr w14:paraId="7A0327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1272F72D">
            <w:pPr>
              <w:ind w:left="-60"/>
              <w:jc w:val="right"/>
              <w:rPr>
                <w:rFonts w:ascii="黑体" w:hAnsi="黑体" w:eastAsia="黑体"/>
                <w:bCs/>
                <w:sz w:val="30"/>
                <w:szCs w:val="30"/>
              </w:rPr>
            </w:pPr>
            <w:r>
              <w:rPr>
                <w:rFonts w:hint="eastAsia" w:ascii="黑体" w:hAnsi="黑体" w:eastAsia="黑体"/>
                <w:bCs/>
                <w:sz w:val="30"/>
                <w:szCs w:val="30"/>
              </w:rPr>
              <w:t>企业导师：</w:t>
            </w:r>
          </w:p>
        </w:tc>
        <w:tc>
          <w:tcPr>
            <w:tcW w:w="6374" w:type="dxa"/>
            <w:tcBorders>
              <w:top w:val="single" w:color="auto" w:sz="12" w:space="0"/>
              <w:left w:val="nil"/>
              <w:bottom w:val="single" w:color="auto" w:sz="12" w:space="0"/>
              <w:right w:val="nil"/>
            </w:tcBorders>
            <w:vAlign w:val="center"/>
          </w:tcPr>
          <w:p w14:paraId="5F812F5F">
            <w:pPr>
              <w:jc w:val="center"/>
              <w:rPr>
                <w:rFonts w:ascii="黑体" w:hAnsi="黑体" w:eastAsia="黑体"/>
                <w:bCs/>
                <w:sz w:val="32"/>
              </w:rPr>
            </w:pPr>
            <w:r>
              <w:rPr>
                <w:rFonts w:hint="eastAsia" w:ascii="黑体" w:hAnsi="黑体" w:eastAsia="黑体"/>
                <w:bCs/>
                <w:sz w:val="32"/>
              </w:rPr>
              <w:t>嵇伟</w:t>
            </w:r>
          </w:p>
        </w:tc>
      </w:tr>
      <w:tr w14:paraId="3F12466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661F95D3">
            <w:pPr>
              <w:ind w:left="-60"/>
              <w:jc w:val="right"/>
              <w:rPr>
                <w:rFonts w:ascii="黑体" w:hAnsi="黑体" w:eastAsia="黑体"/>
                <w:bCs/>
                <w:sz w:val="30"/>
                <w:szCs w:val="30"/>
              </w:rPr>
            </w:pPr>
            <w:r>
              <w:rPr>
                <w:rFonts w:hint="eastAsia" w:ascii="黑体" w:hAnsi="黑体" w:eastAsia="黑体"/>
                <w:bCs/>
                <w:sz w:val="30"/>
                <w:szCs w:val="30"/>
              </w:rPr>
              <w:t>开题日期：</w:t>
            </w:r>
          </w:p>
        </w:tc>
        <w:tc>
          <w:tcPr>
            <w:tcW w:w="6374" w:type="dxa"/>
            <w:tcBorders>
              <w:top w:val="single" w:color="auto" w:sz="12" w:space="0"/>
              <w:left w:val="nil"/>
              <w:bottom w:val="single" w:color="auto" w:sz="12" w:space="0"/>
              <w:right w:val="nil"/>
            </w:tcBorders>
            <w:vAlign w:val="center"/>
          </w:tcPr>
          <w:p w14:paraId="64C39AB0">
            <w:pPr>
              <w:jc w:val="center"/>
              <w:rPr>
                <w:rFonts w:ascii="黑体" w:hAnsi="黑体" w:eastAsia="黑体"/>
                <w:sz w:val="28"/>
                <w:szCs w:val="28"/>
              </w:rPr>
            </w:pPr>
            <w:r>
              <w:rPr>
                <w:rFonts w:hint="eastAsia" w:ascii="黑体" w:hAnsi="黑体" w:eastAsia="黑体"/>
                <w:bCs/>
                <w:sz w:val="32"/>
              </w:rPr>
              <w:t>2025</w:t>
            </w:r>
            <w:r>
              <w:rPr>
                <w:rFonts w:ascii="黑体" w:hAnsi="黑体" w:eastAsia="黑体"/>
                <w:bCs/>
                <w:sz w:val="32"/>
              </w:rPr>
              <w:t xml:space="preserve">  </w:t>
            </w:r>
            <w:r>
              <w:rPr>
                <w:rFonts w:hint="eastAsia" w:ascii="黑体" w:hAnsi="黑体" w:eastAsia="黑体"/>
                <w:bCs/>
                <w:sz w:val="32"/>
              </w:rPr>
              <w:t>年 12</w:t>
            </w:r>
            <w:r>
              <w:rPr>
                <w:rFonts w:ascii="黑体" w:hAnsi="黑体" w:eastAsia="黑体"/>
                <w:bCs/>
                <w:sz w:val="32"/>
              </w:rPr>
              <w:t xml:space="preserve"> </w:t>
            </w:r>
            <w:r>
              <w:rPr>
                <w:rFonts w:hint="eastAsia" w:ascii="黑体" w:hAnsi="黑体" w:eastAsia="黑体"/>
                <w:bCs/>
                <w:sz w:val="32"/>
              </w:rPr>
              <w:t>月15 日</w:t>
            </w:r>
          </w:p>
        </w:tc>
      </w:tr>
      <w:tr w14:paraId="3D88AE4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60" w:hRule="atLeast"/>
          <w:jc w:val="center"/>
        </w:trPr>
        <w:tc>
          <w:tcPr>
            <w:tcW w:w="8075" w:type="dxa"/>
            <w:gridSpan w:val="2"/>
            <w:tcBorders>
              <w:top w:val="nil"/>
              <w:left w:val="nil"/>
              <w:bottom w:val="nil"/>
              <w:right w:val="nil"/>
            </w:tcBorders>
            <w:vAlign w:val="bottom"/>
          </w:tcPr>
          <w:p w14:paraId="3B22B50E">
            <w:pPr>
              <w:ind w:left="-60"/>
              <w:jc w:val="center"/>
              <w:rPr>
                <w:rFonts w:ascii="黑体" w:hAnsi="黑体" w:eastAsia="黑体"/>
                <w:bCs/>
                <w:sz w:val="32"/>
              </w:rPr>
            </w:pPr>
          </w:p>
        </w:tc>
      </w:tr>
    </w:tbl>
    <w:p w14:paraId="3F93C678">
      <w:pPr>
        <w:widowControl/>
        <w:jc w:val="left"/>
        <w:rPr>
          <w:b/>
          <w:bCs/>
          <w:sz w:val="32"/>
          <w:szCs w:val="32"/>
        </w:rPr>
      </w:pPr>
    </w:p>
    <w:p w14:paraId="2331C529">
      <w:pPr>
        <w:pStyle w:val="6"/>
        <w:spacing w:line="240" w:lineRule="auto"/>
        <w:ind w:left="794" w:right="458" w:rightChars="218" w:firstLine="0" w:firstLineChars="0"/>
        <w:jc w:val="center"/>
        <w:rPr>
          <w:b/>
          <w:bCs/>
          <w:sz w:val="32"/>
          <w:szCs w:val="32"/>
        </w:rPr>
      </w:pPr>
    </w:p>
    <w:p w14:paraId="47656805">
      <w:pPr>
        <w:pStyle w:val="6"/>
        <w:spacing w:line="240" w:lineRule="auto"/>
        <w:ind w:left="794" w:right="458" w:rightChars="218" w:firstLine="0" w:firstLineChars="0"/>
        <w:jc w:val="center"/>
        <w:rPr>
          <w:b/>
          <w:bCs/>
          <w:sz w:val="32"/>
          <w:szCs w:val="32"/>
        </w:rPr>
      </w:pPr>
      <w:r>
        <w:rPr>
          <w:rFonts w:hint="eastAsia"/>
          <w:b/>
          <w:bCs/>
          <w:sz w:val="32"/>
          <w:szCs w:val="32"/>
        </w:rPr>
        <w:t>填写说明</w:t>
      </w:r>
    </w:p>
    <w:p w14:paraId="18547584">
      <w:pPr>
        <w:pStyle w:val="6"/>
        <w:spacing w:line="240" w:lineRule="auto"/>
        <w:ind w:left="794" w:right="458" w:rightChars="218" w:firstLine="570" w:firstLineChars="0"/>
        <w:rPr>
          <w:sz w:val="24"/>
        </w:rPr>
      </w:pPr>
    </w:p>
    <w:p w14:paraId="7B2CF96E">
      <w:pPr>
        <w:pStyle w:val="6"/>
        <w:spacing w:line="240" w:lineRule="auto"/>
        <w:ind w:left="794" w:right="458" w:rightChars="218" w:firstLine="570" w:firstLineChars="0"/>
        <w:rPr>
          <w:sz w:val="24"/>
        </w:rPr>
      </w:pPr>
    </w:p>
    <w:p w14:paraId="0769DECF">
      <w:pPr>
        <w:pStyle w:val="6"/>
        <w:spacing w:line="360" w:lineRule="auto"/>
        <w:ind w:left="0" w:firstLine="573" w:firstLineChars="0"/>
        <w:rPr>
          <w:sz w:val="24"/>
        </w:rPr>
      </w:pPr>
      <w:r>
        <w:rPr>
          <w:rFonts w:hint="eastAsia"/>
          <w:sz w:val="24"/>
        </w:rPr>
        <w:t>1</w:t>
      </w:r>
      <w:r>
        <w:rPr>
          <w:sz w:val="24"/>
        </w:rPr>
        <w:t xml:space="preserve">. </w:t>
      </w:r>
      <w:r>
        <w:rPr>
          <w:rFonts w:hint="eastAsia"/>
          <w:sz w:val="24"/>
        </w:rPr>
        <w:t>开题报告是毕业设计（论文）答辩委员会对学生答辩资格审查的依据材料之一。学生应当在毕业设计（论文）工作前期内完成，开题报告不合格者不得参加答辩。</w:t>
      </w:r>
    </w:p>
    <w:p w14:paraId="039569C5">
      <w:pPr>
        <w:pStyle w:val="6"/>
        <w:spacing w:line="360" w:lineRule="auto"/>
        <w:ind w:left="0" w:firstLine="573" w:firstLineChars="0"/>
        <w:rPr>
          <w:sz w:val="24"/>
        </w:rPr>
      </w:pPr>
      <w:r>
        <w:rPr>
          <w:sz w:val="24"/>
        </w:rPr>
        <w:t xml:space="preserve">2. </w:t>
      </w:r>
      <w:r>
        <w:rPr>
          <w:rFonts w:hint="eastAsia"/>
          <w:sz w:val="24"/>
        </w:rPr>
        <w:t>本报告中，由学生本人撰写的对课题和研究工作的分析及描述，没有经过整理归纳，缺乏个人见解仅仅从网上下载材料拼凑而成的开题报告按不合格论。</w:t>
      </w:r>
    </w:p>
    <w:p w14:paraId="16075162">
      <w:pPr>
        <w:pStyle w:val="6"/>
        <w:spacing w:line="360" w:lineRule="auto"/>
        <w:ind w:left="0" w:firstLine="573" w:firstLineChars="0"/>
        <w:rPr>
          <w:sz w:val="24"/>
        </w:rPr>
      </w:pPr>
      <w:r>
        <w:rPr>
          <w:sz w:val="24"/>
        </w:rPr>
        <w:t xml:space="preserve">3. </w:t>
      </w:r>
      <w:r>
        <w:rPr>
          <w:rFonts w:hint="eastAsia"/>
          <w:sz w:val="24"/>
        </w:rPr>
        <w:t>开题报告的字数不少于</w:t>
      </w:r>
      <w:r>
        <w:rPr>
          <w:sz w:val="24"/>
        </w:rPr>
        <w:t>250</w:t>
      </w:r>
      <w:r>
        <w:rPr>
          <w:rFonts w:hint="eastAsia"/>
          <w:sz w:val="24"/>
        </w:rPr>
        <w:t>0字（艺术类专业不少于</w:t>
      </w:r>
      <w:r>
        <w:rPr>
          <w:sz w:val="24"/>
        </w:rPr>
        <w:t>15</w:t>
      </w:r>
      <w:r>
        <w:rPr>
          <w:rFonts w:hint="eastAsia"/>
          <w:sz w:val="24"/>
        </w:rPr>
        <w:t>00字），其中，文献综述字数不得少于1000字，开题报告的格式按学校《本科毕业设计（论文）撰写规范》的要求撰写。</w:t>
      </w:r>
    </w:p>
    <w:p w14:paraId="31C9D386">
      <w:pPr>
        <w:pStyle w:val="6"/>
        <w:spacing w:line="360" w:lineRule="auto"/>
        <w:ind w:left="0" w:firstLine="573" w:firstLineChars="0"/>
        <w:rPr>
          <w:sz w:val="24"/>
        </w:rPr>
      </w:pPr>
      <w:r>
        <w:rPr>
          <w:sz w:val="24"/>
        </w:rPr>
        <w:t>4. 有关年月日等日期的填写，应当按照国标GBT 7408—2005《数据元和交换格式、信息交换、日期和时间表示法》规定的要求，一律用阿拉伯数字书写。如“2022年3月1日”或“2022-03-01”。</w:t>
      </w:r>
    </w:p>
    <w:p w14:paraId="26C49AFE">
      <w:pPr>
        <w:pStyle w:val="6"/>
        <w:spacing w:line="360" w:lineRule="auto"/>
        <w:ind w:left="0" w:firstLine="573" w:firstLineChars="0"/>
        <w:rPr>
          <w:sz w:val="24"/>
        </w:rPr>
      </w:pPr>
    </w:p>
    <w:p w14:paraId="5F7AB78C">
      <w:pPr>
        <w:rPr>
          <w:sz w:val="28"/>
          <w:szCs w:val="28"/>
        </w:rPr>
      </w:pPr>
    </w:p>
    <w:p w14:paraId="01E05552">
      <w:pPr>
        <w:rPr>
          <w:sz w:val="28"/>
          <w:szCs w:val="28"/>
        </w:rPr>
      </w:pPr>
    </w:p>
    <w:p w14:paraId="1635EE01">
      <w:pPr>
        <w:rPr>
          <w:sz w:val="30"/>
          <w:szCs w:val="30"/>
        </w:rPr>
      </w:pPr>
    </w:p>
    <w:p w14:paraId="2DF84D38">
      <w:pPr>
        <w:rPr>
          <w:sz w:val="30"/>
          <w:szCs w:val="30"/>
        </w:rPr>
      </w:pPr>
    </w:p>
    <w:p w14:paraId="29B7384F">
      <w:pPr>
        <w:rPr>
          <w:sz w:val="30"/>
          <w:szCs w:val="30"/>
        </w:rPr>
      </w:pPr>
    </w:p>
    <w:p w14:paraId="74F7F5CE">
      <w:pPr>
        <w:rPr>
          <w:sz w:val="30"/>
          <w:szCs w:val="30"/>
        </w:rPr>
      </w:pPr>
    </w:p>
    <w:p w14:paraId="679DC822">
      <w:pPr>
        <w:rPr>
          <w:sz w:val="30"/>
          <w:szCs w:val="30"/>
        </w:rPr>
      </w:pPr>
    </w:p>
    <w:p w14:paraId="2B13BA90">
      <w:pPr>
        <w:rPr>
          <w:sz w:val="30"/>
          <w:szCs w:val="30"/>
        </w:rPr>
      </w:pPr>
    </w:p>
    <w:p w14:paraId="2EE8E39B">
      <w:pPr>
        <w:rPr>
          <w:sz w:val="30"/>
          <w:szCs w:val="30"/>
        </w:rPr>
      </w:pPr>
    </w:p>
    <w:p w14:paraId="37707B1D">
      <w:pPr>
        <w:rPr>
          <w:sz w:val="30"/>
          <w:szCs w:val="30"/>
        </w:rPr>
      </w:pPr>
    </w:p>
    <w:p w14:paraId="712FDE26">
      <w:pPr>
        <w:rPr>
          <w:sz w:val="13"/>
          <w:szCs w:val="13"/>
        </w:rPr>
      </w:pPr>
    </w:p>
    <w:tbl>
      <w:tblPr>
        <w:tblStyle w:val="12"/>
        <w:tblW w:w="8738" w:type="dxa"/>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9"/>
        <w:gridCol w:w="4369"/>
      </w:tblGrid>
      <w:tr w14:paraId="0DE5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44" w:hRule="atLeast"/>
        </w:trPr>
        <w:tc>
          <w:tcPr>
            <w:tcW w:w="8738" w:type="dxa"/>
            <w:gridSpan w:val="2"/>
            <w:tcBorders>
              <w:bottom w:val="single" w:color="auto" w:sz="4" w:space="0"/>
            </w:tcBorders>
          </w:tcPr>
          <w:p w14:paraId="546A571B">
            <w:pPr>
              <w:numPr>
                <w:ilvl w:val="0"/>
                <w:numId w:val="1"/>
              </w:numPr>
              <w:spacing w:line="360" w:lineRule="auto"/>
              <w:rPr>
                <w:b/>
                <w:bCs/>
                <w:sz w:val="24"/>
              </w:rPr>
            </w:pPr>
            <w:r>
              <w:rPr>
                <w:rFonts w:hint="eastAsia"/>
                <w:b/>
                <w:bCs/>
                <w:sz w:val="24"/>
              </w:rPr>
              <w:t>选题的背景和意义：</w:t>
            </w:r>
          </w:p>
          <w:p w14:paraId="0E9C9807">
            <w:pPr>
              <w:spacing w:line="360" w:lineRule="auto"/>
              <w:rPr>
                <w:sz w:val="24"/>
              </w:rPr>
            </w:pPr>
            <w:r>
              <w:rPr>
                <w:rFonts w:hint="eastAsia"/>
                <w:sz w:val="24"/>
              </w:rPr>
              <w:t>（一）研究背景</w:t>
            </w:r>
          </w:p>
          <w:p w14:paraId="288109A1">
            <w:pPr>
              <w:spacing w:line="360" w:lineRule="auto"/>
              <w:rPr>
                <w:sz w:val="24"/>
              </w:rPr>
            </w:pPr>
            <w:r>
              <w:rPr>
                <w:rFonts w:hint="eastAsia"/>
                <w:sz w:val="24"/>
              </w:rPr>
              <w:t>在数字经济与教育信息化深度融合的背景下，我国高等教育正迈向 “智能化、一体化、服务化” 新阶段，《教育数字化战略行动实施方案》明确要求推动教育管理数字化转型。当前多数高校教务系统存在明显短板：采用单体架构导致数据孤岛严重，专业、班级、课程等核心数据联动不足；流程固化且依赖人工操作，课程安排、权限分配等工作效率低；更关键的是，现有系统在师生服务响应、学科学习支持、教学资源生成等核心场景中智能化缺失 —— 师生咨询需人工逐一回复，效率低下；学生学科问题缺乏即时专业指导；教师教案编写依赖手动搜集资料，耗时费力。</w:t>
            </w:r>
          </w:p>
          <w:p w14:paraId="795B2B18">
            <w:pPr>
              <w:spacing w:line="360" w:lineRule="auto"/>
              <w:rPr>
                <w:sz w:val="24"/>
              </w:rPr>
            </w:pPr>
            <w:r>
              <w:rPr>
                <w:rFonts w:hint="eastAsia"/>
                <w:sz w:val="24"/>
              </w:rPr>
              <w:t>以南京工业职业技术大学计算机与软件学院为例，其涵盖工业互联网技术等多个专业，各专业设 3-5 个班级、每班 20-45 人，师生日常教务咨询（如选课流程、成绩查询）日均超 50 次，教师每周需花费 8-12 小时编写专业课程教案，学生课后学科疑问常因缺乏即时指导导致学习断层。而 AI 技术在自然语言处理、知识图谱、智能生成等领域的突破，为解决这些痛点提供了支撑。因此，开发集成</w:t>
            </w:r>
            <w:r>
              <w:rPr>
                <w:rFonts w:hint="eastAsia"/>
                <w:b/>
                <w:bCs/>
                <w:sz w:val="24"/>
              </w:rPr>
              <w:t>AI 客服、AI 课程助手、智能教案</w:t>
            </w:r>
            <w:r>
              <w:rPr>
                <w:rFonts w:hint="eastAsia"/>
                <w:sz w:val="24"/>
              </w:rPr>
              <w:t>三大核心功能的高校教务系统，成为推动教务管理从 “信息化” 向 “智能化服务” 转型的关键。</w:t>
            </w:r>
          </w:p>
          <w:p w14:paraId="39912E1B">
            <w:pPr>
              <w:spacing w:line="360" w:lineRule="auto"/>
              <w:rPr>
                <w:sz w:val="24"/>
              </w:rPr>
            </w:pPr>
            <w:r>
              <w:rPr>
                <w:rFonts w:hint="eastAsia"/>
                <w:sz w:val="24"/>
              </w:rPr>
              <w:t>（二）研究意义</w:t>
            </w:r>
          </w:p>
          <w:p w14:paraId="11A29B5A">
            <w:pPr>
              <w:spacing w:line="360" w:lineRule="auto"/>
              <w:rPr>
                <w:sz w:val="24"/>
              </w:rPr>
            </w:pPr>
            <w:r>
              <w:rPr>
                <w:sz w:val="24"/>
              </w:rPr>
              <w:t>1. 理论意义</w:t>
            </w:r>
          </w:p>
          <w:p w14:paraId="262E817F">
            <w:pPr>
              <w:spacing w:line="360" w:lineRule="auto"/>
              <w:rPr>
                <w:sz w:val="24"/>
              </w:rPr>
            </w:pPr>
            <w:r>
              <w:rPr>
                <w:sz w:val="24"/>
              </w:rPr>
              <w:t>聚焦 AI 技术与高校教务 “服务端” 的深度融合，突破现有系统多聚焦管理功能、忽视师生服务的局限，构建 “管理 + 服务” 双驱动的教务系统架构，为教育数字化转型提供新的理论范式。</w:t>
            </w:r>
          </w:p>
          <w:p w14:paraId="612AA8A5">
            <w:pPr>
              <w:spacing w:line="360" w:lineRule="auto"/>
              <w:rPr>
                <w:sz w:val="24"/>
              </w:rPr>
            </w:pPr>
            <w:r>
              <w:rPr>
                <w:sz w:val="24"/>
              </w:rPr>
              <w:t>探索 AI 客服的多场景响应机制、学科 AI 助手的专业知识图谱构建、智能教案的动态生成逻辑，形成可复用的技术方案，拓展 AI 在教育服务领域的应用边界，为同类系统开发提供理论参考。</w:t>
            </w:r>
          </w:p>
          <w:p w14:paraId="3C94B508">
            <w:pPr>
              <w:spacing w:line="360" w:lineRule="auto"/>
              <w:rPr>
                <w:sz w:val="24"/>
              </w:rPr>
            </w:pPr>
            <w:r>
              <w:rPr>
                <w:sz w:val="24"/>
              </w:rPr>
              <w:t>针对工业互联网技术等 6 个专业的学科特性，设计适配不同专业的 AI 服务模块，填补现有研究中 “通用 AI 功能与专业需求脱节” 的空白。</w:t>
            </w:r>
          </w:p>
          <w:p w14:paraId="2FF1CDBF">
            <w:pPr>
              <w:spacing w:line="360" w:lineRule="auto"/>
              <w:rPr>
                <w:sz w:val="24"/>
              </w:rPr>
            </w:pPr>
            <w:r>
              <w:rPr>
                <w:sz w:val="24"/>
              </w:rPr>
              <w:t>2. 实践意义</w:t>
            </w:r>
          </w:p>
          <w:p w14:paraId="6A6EEA0E">
            <w:pPr>
              <w:spacing w:line="360" w:lineRule="auto"/>
              <w:rPr>
                <w:sz w:val="24"/>
              </w:rPr>
            </w:pPr>
            <w:r>
              <w:rPr>
                <w:sz w:val="24"/>
              </w:rPr>
              <w:t>师生服务层面：AI 客服 7×24 小时响应教务咨询，自动解答常见问题（如选课规则、请假流程），人工仅处理复杂问题，降低师生沟通成本； AI</w:t>
            </w:r>
            <w:r>
              <w:rPr>
                <w:rFonts w:hint="eastAsia"/>
                <w:sz w:val="24"/>
              </w:rPr>
              <w:t>课程</w:t>
            </w:r>
            <w:r>
              <w:rPr>
                <w:sz w:val="24"/>
              </w:rPr>
              <w:t>助手为学生提供课后学科答疑、知识点拆解、习题推荐，为教师提供学科资源检索、重难点分析支持，提升教与学效率。</w:t>
            </w:r>
          </w:p>
          <w:p w14:paraId="3C161AD7">
            <w:pPr>
              <w:spacing w:line="360" w:lineRule="auto"/>
              <w:rPr>
                <w:sz w:val="24"/>
              </w:rPr>
            </w:pPr>
            <w:r>
              <w:rPr>
                <w:sz w:val="24"/>
              </w:rPr>
              <w:t>教学支持层面：智能教案模块基于课程标准与专业需求，自动生成教案框架、整合教学资源（如案例、课件链接），支持教师个性化修改，将教师教案编写时间缩短 50% 以上，聚焦教学质量提升。</w:t>
            </w:r>
          </w:p>
          <w:p w14:paraId="37107855">
            <w:pPr>
              <w:spacing w:line="360" w:lineRule="auto"/>
              <w:rPr>
                <w:sz w:val="24"/>
              </w:rPr>
            </w:pPr>
            <w:r>
              <w:rPr>
                <w:sz w:val="24"/>
              </w:rPr>
              <w:t>管理优化层面：通过三大 AI 模块的运行数据，实时反馈师生需求（如高频咨询问题、学科薄弱点），为教务决策（如优化选课流程、调整课程重难点）提供数据支撑，推动管理从 “经验驱动” 向 “数据驱动” 转变。</w:t>
            </w:r>
          </w:p>
        </w:tc>
      </w:tr>
      <w:tr w14:paraId="7629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tcPr>
          <w:p w14:paraId="2A21B2D5">
            <w:pPr>
              <w:spacing w:line="360" w:lineRule="auto"/>
              <w:rPr>
                <w:b/>
                <w:bCs/>
                <w:sz w:val="24"/>
              </w:rPr>
            </w:pPr>
            <w:r>
              <w:rPr>
                <w:rFonts w:hint="eastAsia"/>
                <w:b/>
                <w:bCs/>
                <w:sz w:val="24"/>
              </w:rPr>
              <w:t>二、主要研究内容：</w:t>
            </w:r>
          </w:p>
          <w:p w14:paraId="69D64FE5">
            <w:pPr>
              <w:spacing w:line="360" w:lineRule="auto"/>
              <w:rPr>
                <w:sz w:val="24"/>
              </w:rPr>
            </w:pPr>
            <w:r>
              <w:rPr>
                <w:sz w:val="24"/>
              </w:rPr>
              <w:t>本研究以 “AI 赋能 + 实用高效 + 可扩展维护” 为核心，开发多角色、多专业的高校智能教务管理系统，具体内容如下：</w:t>
            </w:r>
          </w:p>
          <w:p w14:paraId="5DC3FF13">
            <w:pPr>
              <w:spacing w:line="360" w:lineRule="auto"/>
              <w:rPr>
                <w:sz w:val="24"/>
              </w:rPr>
            </w:pPr>
            <w:r>
              <w:rPr>
                <w:sz w:val="24"/>
              </w:rPr>
              <w:t>（一）系统需求分析与架构设计</w:t>
            </w:r>
          </w:p>
          <w:p w14:paraId="431D518C">
            <w:pPr>
              <w:spacing w:line="360" w:lineRule="auto"/>
              <w:rPr>
                <w:sz w:val="24"/>
              </w:rPr>
            </w:pPr>
            <w:r>
              <w:rPr>
                <w:sz w:val="24"/>
              </w:rPr>
              <w:t>多角色需求分析：</w:t>
            </w:r>
          </w:p>
          <w:p w14:paraId="56CE32F0">
            <w:pPr>
              <w:spacing w:line="360" w:lineRule="auto"/>
              <w:rPr>
                <w:sz w:val="24"/>
              </w:rPr>
            </w:pPr>
            <w:r>
              <w:rPr>
                <w:sz w:val="24"/>
              </w:rPr>
              <w:t xml:space="preserve">学生：除课程查询、请假申请外，新增 “AI 客服咨询”（如教务流程疑问）、“ AI </w:t>
            </w:r>
            <w:r>
              <w:rPr>
                <w:rFonts w:hint="eastAsia"/>
                <w:sz w:val="24"/>
              </w:rPr>
              <w:t>课程</w:t>
            </w:r>
            <w:r>
              <w:rPr>
                <w:sz w:val="24"/>
              </w:rPr>
              <w:t>助手使用”（如工业互联网技术专业知识点答疑、习题练习）、“智能教案查看”（课后回顾教师共享的智能教案）需求。</w:t>
            </w:r>
          </w:p>
          <w:p w14:paraId="3F84FB2D">
            <w:pPr>
              <w:spacing w:line="360" w:lineRule="auto"/>
              <w:rPr>
                <w:sz w:val="24"/>
              </w:rPr>
            </w:pPr>
            <w:r>
              <w:rPr>
                <w:sz w:val="24"/>
              </w:rPr>
              <w:t>教师：除课程管理、作业批改外，新增 “AI 客服协作”（查看学生高频咨询、辅助回复）、“ AI</w:t>
            </w:r>
            <w:r>
              <w:rPr>
                <w:rFonts w:hint="eastAsia"/>
                <w:sz w:val="24"/>
              </w:rPr>
              <w:t>课程</w:t>
            </w:r>
            <w:r>
              <w:rPr>
                <w:sz w:val="24"/>
              </w:rPr>
              <w:t>助手调用”（检索学科资源、分析学生薄弱点）、“智能教案生成与修改”（自动生成教案、个性化调整）需求。</w:t>
            </w:r>
          </w:p>
          <w:p w14:paraId="6BA4CCF4">
            <w:pPr>
              <w:spacing w:line="360" w:lineRule="auto"/>
              <w:rPr>
                <w:sz w:val="24"/>
              </w:rPr>
            </w:pPr>
            <w:r>
              <w:rPr>
                <w:sz w:val="24"/>
              </w:rPr>
              <w:t xml:space="preserve">管理员：除用户管理、数据统计外，新增 “AI 模块管理”（AI 客服知识库更新、 AI </w:t>
            </w:r>
            <w:r>
              <w:rPr>
                <w:rFonts w:hint="eastAsia"/>
                <w:sz w:val="24"/>
              </w:rPr>
              <w:t>课程</w:t>
            </w:r>
            <w:r>
              <w:rPr>
                <w:sz w:val="24"/>
              </w:rPr>
              <w:t>助手专业适配、智能教案模板维护）需求。</w:t>
            </w:r>
          </w:p>
          <w:p w14:paraId="2C57A427">
            <w:pPr>
              <w:spacing w:line="360" w:lineRule="auto"/>
              <w:rPr>
                <w:sz w:val="24"/>
              </w:rPr>
            </w:pPr>
            <w:r>
              <w:rPr>
                <w:sz w:val="24"/>
              </w:rPr>
              <w:t>技术架构设计：</w:t>
            </w:r>
          </w:p>
          <w:p w14:paraId="39413B38">
            <w:pPr>
              <w:spacing w:line="360" w:lineRule="auto"/>
              <w:rPr>
                <w:sz w:val="24"/>
              </w:rPr>
            </w:pPr>
            <w:r>
              <w:rPr>
                <w:sz w:val="24"/>
              </w:rPr>
              <w:t>采用前后端分离架构，前端以 Vue3+TypeScript+Vuetify 3 构建响应式界面，适配 Material Design 风格；后端基于 FastAPI+SQLAlchemy ORM 搭建服务端，提供高效接口与数据库操作支持；数据库选用 SQLite，实现轻量级数据安全存储。</w:t>
            </w:r>
          </w:p>
          <w:p w14:paraId="16899F06">
            <w:pPr>
              <w:spacing w:line="360" w:lineRule="auto"/>
              <w:rPr>
                <w:sz w:val="24"/>
              </w:rPr>
            </w:pPr>
            <w:r>
              <w:rPr>
                <w:sz w:val="24"/>
              </w:rPr>
              <w:t>核心特性设计：</w:t>
            </w:r>
          </w:p>
          <w:p w14:paraId="38A66E30">
            <w:pPr>
              <w:spacing w:line="360" w:lineRule="auto"/>
              <w:rPr>
                <w:sz w:val="24"/>
              </w:rPr>
            </w:pPr>
            <w:r>
              <w:rPr>
                <w:sz w:val="24"/>
              </w:rPr>
              <w:t>遵循 DRY 原则，采用模块化设计，将 AI 客服、 AI</w:t>
            </w:r>
            <w:r>
              <w:rPr>
                <w:rFonts w:hint="eastAsia"/>
                <w:sz w:val="24"/>
              </w:rPr>
              <w:t>学科</w:t>
            </w:r>
            <w:r>
              <w:rPr>
                <w:sz w:val="24"/>
              </w:rPr>
              <w:t>助手、智能教案模块设计为独立可扩展单元，支持后期新增专业适配或功能升级。</w:t>
            </w:r>
          </w:p>
          <w:p w14:paraId="63DE0C70">
            <w:pPr>
              <w:spacing w:line="360" w:lineRule="auto"/>
              <w:rPr>
                <w:sz w:val="24"/>
              </w:rPr>
            </w:pPr>
            <w:r>
              <w:rPr>
                <w:sz w:val="24"/>
              </w:rPr>
              <w:t>（二）核心数据体系构建</w:t>
            </w:r>
          </w:p>
          <w:p w14:paraId="3D18F16F">
            <w:pPr>
              <w:spacing w:line="360" w:lineRule="auto"/>
              <w:rPr>
                <w:rFonts w:hint="eastAsia"/>
                <w:sz w:val="24"/>
              </w:rPr>
            </w:pPr>
            <w:r>
              <w:rPr>
                <w:rFonts w:hint="eastAsia"/>
                <w:sz w:val="24"/>
                <w:lang w:val="en-US" w:eastAsia="zh-CN"/>
              </w:rPr>
              <w:t>核心数据体系构建需以 “解决现有教务系统痛点、支撑三大 AI 模块功能落地、实现多角色需求” 为核心目标，从问题拆解、数据需求推导、数据组织逻辑设计到最终表结构落地，形成完整的推导链路，具体内容如下：</w:t>
            </w:r>
          </w:p>
          <w:p w14:paraId="1FDC7E32">
            <w:pPr>
              <w:spacing w:line="360" w:lineRule="auto"/>
              <w:rPr>
                <w:sz w:val="24"/>
              </w:rPr>
            </w:pPr>
            <w:r>
              <w:rPr>
                <w:sz w:val="24"/>
              </w:rPr>
              <w:t>一、数据需求推导：基于问题与功能拆解</w:t>
            </w:r>
          </w:p>
          <w:p w14:paraId="471F8AB9">
            <w:pPr>
              <w:spacing w:line="360" w:lineRule="auto"/>
              <w:rPr>
                <w:sz w:val="24"/>
              </w:rPr>
            </w:pPr>
            <w:r>
              <w:rPr>
                <w:rFonts w:hint="eastAsia"/>
                <w:sz w:val="24"/>
                <w:lang w:val="en-US" w:eastAsia="zh-CN"/>
              </w:rPr>
              <w:t>1.</w:t>
            </w:r>
            <w:r>
              <w:rPr>
                <w:sz w:val="24"/>
              </w:rPr>
              <w:t>从系统痛点推导基础数据</w:t>
            </w:r>
          </w:p>
          <w:p w14:paraId="33EA65BD">
            <w:pPr>
              <w:spacing w:line="360" w:lineRule="auto"/>
              <w:rPr>
                <w:sz w:val="24"/>
              </w:rPr>
            </w:pPr>
            <w:r>
              <w:rPr>
                <w:sz w:val="24"/>
                <w:lang w:val="en-US" w:eastAsia="zh-CN"/>
              </w:rPr>
              <w:t>针对“数据孤岛、人工效率低”痛点，需构建基础关联数据：以“专业-课程-师生”为核心链路，整合专业基础数据（ID、名称、培养方案）、课程基础数据（ID、所属专业、课程标准）、师生数据（ID、角色、所属专业），同时补充课程资源、权限配置数据，打破数据割裂，为AI模块提供场景定位基础。</w:t>
            </w:r>
          </w:p>
          <w:p w14:paraId="34C5294D">
            <w:pPr>
              <w:spacing w:line="360" w:lineRule="auto"/>
              <w:rPr>
                <w:sz w:val="24"/>
              </w:rPr>
            </w:pPr>
            <w:r>
              <w:rPr>
                <w:rFonts w:hint="eastAsia"/>
                <w:sz w:val="24"/>
                <w:lang w:val="en-US" w:eastAsia="zh-CN"/>
              </w:rPr>
              <w:t>2.</w:t>
            </w:r>
            <w:r>
              <w:rPr>
                <w:sz w:val="24"/>
              </w:rPr>
              <w:t>从三大AI模块推导专项数据</w:t>
            </w:r>
          </w:p>
          <w:p w14:paraId="51753F43">
            <w:pPr>
              <w:spacing w:line="360" w:lineRule="auto"/>
              <w:rPr>
                <w:sz w:val="24"/>
              </w:rPr>
            </w:pPr>
            <w:r>
              <w:rPr>
                <w:sz w:val="24"/>
                <w:lang w:val="en-US" w:eastAsia="zh-CN"/>
              </w:rPr>
              <w:t>1. AI客服模块：需“常见问题数据”（含关键词、标准答案、场景标签）解决回复不统一问题，“咨询历史数据”记录用户咨询轨迹，支撑知识库迭代，实现精准响应。</w:t>
            </w:r>
          </w:p>
          <w:p w14:paraId="2269E1F4">
            <w:pPr>
              <w:spacing w:line="360" w:lineRule="auto"/>
              <w:rPr>
                <w:sz w:val="24"/>
              </w:rPr>
            </w:pPr>
            <w:r>
              <w:rPr>
                <w:sz w:val="24"/>
                <w:lang w:val="en-US" w:eastAsia="zh-CN"/>
              </w:rPr>
              <w:t>2. AI课程助手模块：构建“知识点层级数据”（按专业梳理核心-子知识点关联）、“知识点关联资源数据”（绑定案例、习题）、“学习进度数据”（记录学生掌握情况），支撑学科答疑与个性化资源推荐。</w:t>
            </w:r>
          </w:p>
          <w:p w14:paraId="1905FD63">
            <w:pPr>
              <w:spacing w:line="360" w:lineRule="auto"/>
              <w:rPr>
                <w:sz w:val="24"/>
              </w:rPr>
            </w:pPr>
            <w:r>
              <w:rPr>
                <w:sz w:val="24"/>
                <w:lang w:val="en-US" w:eastAsia="zh-CN"/>
              </w:rPr>
              <w:t>3. 智能教案模块：设计“教案结构模板数据”（分理论/实践课框架）、“课程标准关联数据”（确保教案贴合课程要求）、“个性化修改记录数据”（优化模板适配教学需求），降低教师教案编写成本。</w:t>
            </w:r>
          </w:p>
          <w:p w14:paraId="2CB06902">
            <w:pPr>
              <w:spacing w:line="360" w:lineRule="auto"/>
              <w:rPr>
                <w:sz w:val="24"/>
              </w:rPr>
            </w:pPr>
            <w:r>
              <w:rPr>
                <w:rFonts w:hint="eastAsia"/>
                <w:sz w:val="24"/>
                <w:lang w:val="en-US" w:eastAsia="zh-CN"/>
              </w:rPr>
              <w:t>4.</w:t>
            </w:r>
            <w:r>
              <w:rPr>
                <w:sz w:val="24"/>
              </w:rPr>
              <w:t>从多角色需求推导权限与关联数据</w:t>
            </w:r>
          </w:p>
          <w:p w14:paraId="32FD3021">
            <w:pPr>
              <w:spacing w:line="360" w:lineRule="auto"/>
              <w:rPr>
                <w:sz w:val="24"/>
              </w:rPr>
            </w:pPr>
            <w:r>
              <w:rPr>
                <w:sz w:val="24"/>
                <w:lang w:val="en-US" w:eastAsia="zh-CN"/>
              </w:rPr>
              <w:t>学生端需“教案共享权限、专业-知识点关联数据”，确保精准获取本班资源与专业答疑；教师端需“教师-课程关联、学生薄弱点数据”，支撑教案生成与学情分析；管理员端需“知识库更新日志、模板版本数据”，实现AI模块可维护与数据可追溯。</w:t>
            </w:r>
          </w:p>
          <w:p w14:paraId="7C71C2C7">
            <w:pPr>
              <w:spacing w:line="360" w:lineRule="auto"/>
              <w:rPr>
                <w:sz w:val="24"/>
              </w:rPr>
            </w:pPr>
            <w:r>
              <w:rPr>
                <w:sz w:val="24"/>
              </w:rPr>
              <w:t>二、数据组织逻辑：三层关联体系框架</w:t>
            </w:r>
          </w:p>
          <w:p w14:paraId="2CA06BDC">
            <w:pPr>
              <w:spacing w:line="360" w:lineRule="auto"/>
              <w:rPr>
                <w:sz w:val="24"/>
              </w:rPr>
            </w:pPr>
            <w:r>
              <w:rPr>
                <w:sz w:val="24"/>
                <w:lang w:val="en-US" w:eastAsia="zh-CN"/>
              </w:rPr>
              <w:t>按“基础层-业务层-AI服务层”层级组织，避免数据孤岛，实现跨层联动：</w:t>
            </w:r>
          </w:p>
          <w:p w14:paraId="736816A5">
            <w:pPr>
              <w:spacing w:line="360" w:lineRule="auto"/>
              <w:rPr>
                <w:sz w:val="24"/>
              </w:rPr>
            </w:pPr>
            <w:r>
              <w:rPr>
                <w:sz w:val="24"/>
                <w:lang w:val="en-US" w:eastAsia="zh-CN"/>
              </w:rPr>
              <w:t>1. 基础数据层：以专业表、课程表、用户表为核心，通过“专业ID、课程ID”构建“专业→课程→师生”关联链，提供底层场景定位数据。</w:t>
            </w:r>
          </w:p>
          <w:p w14:paraId="359F1982">
            <w:pPr>
              <w:spacing w:line="360" w:lineRule="auto"/>
              <w:rPr>
                <w:sz w:val="24"/>
              </w:rPr>
            </w:pPr>
            <w:r>
              <w:rPr>
                <w:sz w:val="24"/>
                <w:lang w:val="en-US" w:eastAsia="zh-CN"/>
              </w:rPr>
              <w:t>2. 业务数据层：包含课程资源表、权限配置表，将基础数据与业务资源、操作权限绑定，衔接底层数据与AI服务需求。</w:t>
            </w:r>
          </w:p>
          <w:p w14:paraId="56AE2CD3">
            <w:pPr>
              <w:spacing w:line="360" w:lineRule="auto"/>
              <w:rPr>
                <w:sz w:val="24"/>
              </w:rPr>
            </w:pPr>
            <w:r>
              <w:rPr>
                <w:sz w:val="24"/>
                <w:lang w:val="en-US" w:eastAsia="zh-CN"/>
              </w:rPr>
              <w:t>3. AI服务数据层：整合AI客服知识库、学科知识点库、教案模板库，通过“专业ID、课程ID”与基础层、业务层联动，确保AI服务贴合教务场景。</w:t>
            </w:r>
          </w:p>
          <w:p w14:paraId="639A38CB">
            <w:pPr>
              <w:spacing w:line="360" w:lineRule="auto"/>
              <w:rPr>
                <w:sz w:val="24"/>
              </w:rPr>
            </w:pPr>
            <w:r>
              <w:rPr>
                <w:sz w:val="24"/>
              </w:rPr>
              <w:t>（三）功能模块开发</w:t>
            </w:r>
          </w:p>
          <w:p w14:paraId="60309F3E">
            <w:pPr>
              <w:spacing w:line="360" w:lineRule="auto"/>
              <w:rPr>
                <w:rFonts w:hint="eastAsia"/>
                <w:sz w:val="24"/>
              </w:rPr>
            </w:pPr>
            <w:r>
              <w:rPr>
                <w:rFonts w:hint="eastAsia"/>
                <w:sz w:val="24"/>
              </w:rPr>
              <w:t>用户管理模块：新增 AI 模块权限配置（如教师可编辑智能教案）。</w:t>
            </w:r>
          </w:p>
          <w:p w14:paraId="73821F2D">
            <w:pPr>
              <w:spacing w:line="360" w:lineRule="auto"/>
              <w:rPr>
                <w:sz w:val="24"/>
              </w:rPr>
            </w:pPr>
            <w:r>
              <w:rPr>
                <w:rFonts w:hint="eastAsia"/>
                <w:sz w:val="24"/>
              </w:rPr>
              <w:t>课程管理模块：关联学科知识点表与教案模板表，支持课程与 AI 资源自动匹配。</w:t>
            </w:r>
            <w:r>
              <w:rPr>
                <w:sz w:val="24"/>
              </w:rPr>
              <w:t>三大 AI 核心模块开发</w:t>
            </w:r>
          </w:p>
          <w:p w14:paraId="61F303DF">
            <w:pPr>
              <w:spacing w:line="360" w:lineRule="auto"/>
              <w:rPr>
                <w:sz w:val="24"/>
              </w:rPr>
            </w:pPr>
            <w:r>
              <w:rPr>
                <w:sz w:val="24"/>
              </w:rPr>
              <w:t>AI 客服模块</w:t>
            </w:r>
          </w:p>
          <w:p w14:paraId="42E86C09">
            <w:pPr>
              <w:spacing w:line="360" w:lineRule="auto"/>
              <w:rPr>
                <w:sz w:val="24"/>
              </w:rPr>
            </w:pPr>
            <w:r>
              <w:rPr>
                <w:sz w:val="24"/>
              </w:rPr>
              <w:t>语义理解：基于自然语言处理技术，实现用户咨询的意图识别（如 “怎么选课”“成绩什么时候出”），准确率≥90%。</w:t>
            </w:r>
          </w:p>
          <w:p w14:paraId="69856FEE">
            <w:pPr>
              <w:spacing w:line="360" w:lineRule="auto"/>
              <w:rPr>
                <w:sz w:val="24"/>
              </w:rPr>
            </w:pPr>
            <w:r>
              <w:rPr>
                <w:sz w:val="24"/>
              </w:rPr>
              <w:t>自动回复：匹配 AI 客服知识库，即时回复常见问题；复杂问题自动转接人工，并同步咨询历史。</w:t>
            </w:r>
          </w:p>
          <w:p w14:paraId="3F23F56C">
            <w:pPr>
              <w:spacing w:line="360" w:lineRule="auto"/>
              <w:rPr>
                <w:sz w:val="24"/>
              </w:rPr>
            </w:pPr>
            <w:r>
              <w:rPr>
                <w:sz w:val="24"/>
              </w:rPr>
              <w:t>知识库更新：支持管理员手动添加问题，或通过用户咨询记录自动挖掘新增问题（如每月分析高频未解答问题，提示更新）。</w:t>
            </w:r>
          </w:p>
          <w:p w14:paraId="618B02A7">
            <w:pPr>
              <w:spacing w:line="360" w:lineRule="auto"/>
              <w:rPr>
                <w:sz w:val="24"/>
              </w:rPr>
            </w:pPr>
            <w:r>
              <w:rPr>
                <w:sz w:val="24"/>
              </w:rPr>
              <w:t xml:space="preserve"> AI</w:t>
            </w:r>
            <w:r>
              <w:rPr>
                <w:rFonts w:hint="eastAsia"/>
                <w:sz w:val="24"/>
              </w:rPr>
              <w:t>课程</w:t>
            </w:r>
            <w:r>
              <w:rPr>
                <w:sz w:val="24"/>
              </w:rPr>
              <w:t>助手模块</w:t>
            </w:r>
          </w:p>
          <w:p w14:paraId="2CF1B961">
            <w:pPr>
              <w:spacing w:line="360" w:lineRule="auto"/>
              <w:rPr>
                <w:sz w:val="24"/>
              </w:rPr>
            </w:pPr>
            <w:r>
              <w:rPr>
                <w:sz w:val="24"/>
              </w:rPr>
              <w:t>智能答疑：学生输入学科问题（如 “工业互联网中 OPC UA 协议的作用”），助手基于知识图谱精准匹配知识点，提供文字解答与关联案例。</w:t>
            </w:r>
          </w:p>
          <w:p w14:paraId="5061899E">
            <w:pPr>
              <w:spacing w:line="360" w:lineRule="auto"/>
              <w:rPr>
                <w:sz w:val="24"/>
              </w:rPr>
            </w:pPr>
            <w:r>
              <w:rPr>
                <w:sz w:val="24"/>
              </w:rPr>
              <w:t>资源推荐：根据学生学习进度（如当前学习 “工业互联网平台搭建” 章节），推荐相关知识点、习题、课件资源。</w:t>
            </w:r>
          </w:p>
          <w:p w14:paraId="48E941E6">
            <w:pPr>
              <w:spacing w:line="360" w:lineRule="auto"/>
              <w:rPr>
                <w:sz w:val="24"/>
              </w:rPr>
            </w:pPr>
            <w:r>
              <w:rPr>
                <w:sz w:val="24"/>
              </w:rPr>
              <w:t>教师辅助：教师输入课程重难点（如 “讲解边缘计算在工业互联网中的应用”），助手检索相关文献、教学案例，生成参考资料包。</w:t>
            </w:r>
          </w:p>
          <w:p w14:paraId="3791E3AE">
            <w:pPr>
              <w:spacing w:line="360" w:lineRule="auto"/>
              <w:rPr>
                <w:sz w:val="24"/>
              </w:rPr>
            </w:pPr>
            <w:r>
              <w:rPr>
                <w:sz w:val="24"/>
              </w:rPr>
              <w:t>智能教案模块</w:t>
            </w:r>
          </w:p>
          <w:p w14:paraId="72D85CDB">
            <w:pPr>
              <w:spacing w:line="360" w:lineRule="auto"/>
              <w:rPr>
                <w:sz w:val="24"/>
              </w:rPr>
            </w:pPr>
            <w:r>
              <w:rPr>
                <w:sz w:val="24"/>
              </w:rPr>
              <w:t>自动生成：教师选择课程与课时，系统基于教案模板表与学科知识点表，自动生成教案初稿。</w:t>
            </w:r>
          </w:p>
          <w:p w14:paraId="716F24CF">
            <w:pPr>
              <w:spacing w:line="360" w:lineRule="auto"/>
              <w:rPr>
                <w:sz w:val="24"/>
              </w:rPr>
            </w:pPr>
            <w:r>
              <w:rPr>
                <w:sz w:val="24"/>
              </w:rPr>
              <w:t>个性化修改：提供可视化编辑界面，支持教师调整教学流程、补充案例、替换资源链接，修改内容自动同步至数据库。</w:t>
            </w:r>
          </w:p>
          <w:p w14:paraId="4FE3FEBA">
            <w:pPr>
              <w:spacing w:line="360" w:lineRule="auto"/>
              <w:rPr>
                <w:sz w:val="24"/>
              </w:rPr>
            </w:pPr>
            <w:r>
              <w:rPr>
                <w:sz w:val="24"/>
              </w:rPr>
              <w:t>教案共享：教师可将完成的教案共享至课程班级，学生通过系统查看，支持课后回顾。</w:t>
            </w:r>
          </w:p>
          <w:p w14:paraId="78B00434">
            <w:pPr>
              <w:spacing w:line="360" w:lineRule="auto"/>
              <w:rPr>
                <w:sz w:val="24"/>
              </w:rPr>
            </w:pPr>
            <w:r>
              <w:rPr>
                <w:sz w:val="24"/>
              </w:rPr>
              <w:t>（</w:t>
            </w:r>
            <w:r>
              <w:rPr>
                <w:rFonts w:hint="eastAsia"/>
                <w:sz w:val="24"/>
              </w:rPr>
              <w:t>四</w:t>
            </w:r>
            <w:r>
              <w:rPr>
                <w:sz w:val="24"/>
              </w:rPr>
              <w:t>）系统测试与验证</w:t>
            </w:r>
          </w:p>
          <w:p w14:paraId="139E288B">
            <w:pPr>
              <w:spacing w:line="360" w:lineRule="auto"/>
              <w:rPr>
                <w:sz w:val="24"/>
              </w:rPr>
            </w:pPr>
            <w:r>
              <w:rPr>
                <w:sz w:val="24"/>
              </w:rPr>
              <w:t>功能测试：设计测试用例，全面验证核心模块功能，确保无逻辑错误与操作异常。</w:t>
            </w:r>
          </w:p>
          <w:p w14:paraId="35861478">
            <w:pPr>
              <w:spacing w:line="360" w:lineRule="auto"/>
              <w:rPr>
                <w:sz w:val="24"/>
              </w:rPr>
            </w:pPr>
            <w:r>
              <w:rPr>
                <w:sz w:val="24"/>
              </w:rPr>
              <w:t>性能测试：测试系统并发访问、响应速度等指标，保障实际应用中稳定运行。</w:t>
            </w:r>
          </w:p>
          <w:p w14:paraId="73CC0D5E">
            <w:pPr>
              <w:spacing w:line="360" w:lineRule="auto"/>
              <w:rPr>
                <w:sz w:val="24"/>
              </w:rPr>
            </w:pPr>
            <w:r>
              <w:rPr>
                <w:sz w:val="24"/>
              </w:rPr>
              <w:t>用户体验测试：邀请不同角色用户试用，重点收集三大 AI 模块的操作便捷性、功能实用性反馈，优化交互细节。</w:t>
            </w:r>
          </w:p>
        </w:tc>
      </w:tr>
      <w:tr w14:paraId="4EEC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tcPr>
          <w:p w14:paraId="3A63DFB4">
            <w:pPr>
              <w:spacing w:line="360" w:lineRule="auto"/>
              <w:rPr>
                <w:b/>
                <w:bCs/>
                <w:sz w:val="24"/>
              </w:rPr>
            </w:pPr>
            <w:r>
              <w:rPr>
                <w:rFonts w:hint="eastAsia"/>
                <w:b/>
                <w:bCs/>
                <w:sz w:val="24"/>
              </w:rPr>
              <w:t>三、方案（设计方案、或研究方案、研制方案）论证：</w:t>
            </w:r>
          </w:p>
          <w:p w14:paraId="2489E212">
            <w:pPr>
              <w:spacing w:line="360" w:lineRule="auto"/>
              <w:rPr>
                <w:sz w:val="24"/>
              </w:rPr>
            </w:pPr>
            <w:r>
              <w:rPr>
                <w:sz w:val="24"/>
              </w:rPr>
              <w:t>（一）技术方案选择论证</w:t>
            </w:r>
          </w:p>
          <w:p w14:paraId="58B292AC">
            <w:pPr>
              <w:spacing w:line="360" w:lineRule="auto"/>
              <w:rPr>
                <w:sz w:val="24"/>
              </w:rPr>
            </w:pPr>
            <w:r>
              <w:rPr>
                <w:sz w:val="24"/>
              </w:rPr>
              <w:t>前后端分离架构</w:t>
            </w:r>
            <w:r>
              <w:rPr>
                <w:rFonts w:hint="eastAsia"/>
                <w:sz w:val="24"/>
              </w:rPr>
              <w:t>：</w:t>
            </w:r>
            <w:r>
              <w:rPr>
                <w:sz w:val="24"/>
              </w:rPr>
              <w:t>相比传统单体架构，能实现前后端并行开发、提升效率，且便于维护扩展与多终端适配，更符合系统需求。</w:t>
            </w:r>
          </w:p>
          <w:p w14:paraId="55B1AAEC">
            <w:pPr>
              <w:spacing w:line="360" w:lineRule="auto"/>
              <w:rPr>
                <w:sz w:val="24"/>
              </w:rPr>
            </w:pPr>
            <w:r>
              <w:rPr>
                <w:sz w:val="24"/>
              </w:rPr>
              <w:t>前端技术栈：Vue3 的 Composition API 便于组件逻辑组织，TypeScript 保障代码质量，Vuetify 3 提供丰富 Material Design 组件，减少 UI 开发工作量，优于 Element Plus 等组件库。</w:t>
            </w:r>
          </w:p>
          <w:p w14:paraId="1BF702CB">
            <w:pPr>
              <w:spacing w:line="360" w:lineRule="auto"/>
              <w:rPr>
                <w:sz w:val="24"/>
              </w:rPr>
            </w:pPr>
            <w:r>
              <w:rPr>
                <w:sz w:val="24"/>
              </w:rPr>
              <w:t>后端技术栈：FastAPI 支持异步处理与自动生成接口文档，性能优于 Django、Flask；SQLAlchemy ORM 封装数据库操作，提升安全性与可维护性，符合系统设计要求。</w:t>
            </w:r>
          </w:p>
          <w:p w14:paraId="6E32DE2A">
            <w:pPr>
              <w:spacing w:line="360" w:lineRule="auto"/>
              <w:rPr>
                <w:sz w:val="24"/>
              </w:rPr>
            </w:pPr>
            <w:r>
              <w:rPr>
                <w:sz w:val="24"/>
              </w:rPr>
              <w:t>数据库选择：SQLite 无需独立部署，便于系统打包与离线演示，且支持 SQL 标准与事务处理，能满足数据存储需求，在轻量化部署上优于 MySQL。</w:t>
            </w:r>
          </w:p>
          <w:p w14:paraId="3081E8D8">
            <w:pPr>
              <w:spacing w:line="360" w:lineRule="auto"/>
              <w:rPr>
                <w:sz w:val="24"/>
              </w:rPr>
            </w:pPr>
            <w:r>
              <w:rPr>
                <w:sz w:val="24"/>
              </w:rPr>
              <w:t>（</w:t>
            </w:r>
            <w:r>
              <w:rPr>
                <w:rFonts w:hint="eastAsia"/>
                <w:sz w:val="24"/>
              </w:rPr>
              <w:t>二</w:t>
            </w:r>
            <w:r>
              <w:rPr>
                <w:sz w:val="24"/>
              </w:rPr>
              <w:t>）AI 技术选型论证</w:t>
            </w:r>
          </w:p>
          <w:p w14:paraId="02CE7C6A">
            <w:pPr>
              <w:spacing w:line="360" w:lineRule="auto"/>
              <w:rPr>
                <w:sz w:val="24"/>
              </w:rPr>
            </w:pPr>
            <w:r>
              <w:rPr>
                <w:sz w:val="24"/>
              </w:rPr>
              <w:t>AI 客服引擎：选择轻量化自然语言处理框架，兼顾准确率与部署效率，优于需大量标注数据的定制模型。</w:t>
            </w:r>
          </w:p>
          <w:p w14:paraId="4687AF19">
            <w:pPr>
              <w:spacing w:line="360" w:lineRule="auto"/>
              <w:rPr>
                <w:sz w:val="24"/>
              </w:rPr>
            </w:pPr>
            <w:r>
              <w:rPr>
                <w:sz w:val="24"/>
              </w:rPr>
              <w:t>学科知识图谱引擎：采用 Neo4j 图数据库，相比关系型数据库更适合存储知识点层级关联关系，查询效率提升 30% 以上，支撑学科 AI 助手快速答疑。</w:t>
            </w:r>
          </w:p>
          <w:p w14:paraId="5E551B96">
            <w:pPr>
              <w:spacing w:line="360" w:lineRule="auto"/>
              <w:rPr>
                <w:sz w:val="24"/>
              </w:rPr>
            </w:pPr>
            <w:r>
              <w:rPr>
                <w:sz w:val="24"/>
              </w:rPr>
              <w:t>智能教案生成技术：采用 “模板驱动 + GPT 轻量化模型” 组合，模板确保教案结构合规，轻量化模型实现内容自动填充，避免纯生成模型的结构混乱问题，平衡效率与质量。</w:t>
            </w:r>
          </w:p>
          <w:p w14:paraId="0210419B">
            <w:pPr>
              <w:spacing w:line="360" w:lineRule="auto"/>
              <w:rPr>
                <w:sz w:val="24"/>
              </w:rPr>
            </w:pPr>
            <w:r>
              <w:rPr>
                <w:sz w:val="24"/>
              </w:rPr>
              <w:t>（</w:t>
            </w:r>
            <w:r>
              <w:rPr>
                <w:rFonts w:hint="eastAsia"/>
                <w:sz w:val="24"/>
              </w:rPr>
              <w:t>三</w:t>
            </w:r>
            <w:r>
              <w:rPr>
                <w:sz w:val="24"/>
              </w:rPr>
              <w:t>）系统架构设计论证</w:t>
            </w:r>
          </w:p>
          <w:p w14:paraId="44B1914E">
            <w:pPr>
              <w:spacing w:line="360" w:lineRule="auto"/>
              <w:rPr>
                <w:sz w:val="24"/>
              </w:rPr>
            </w:pPr>
            <w:r>
              <w:rPr>
                <w:sz w:val="24"/>
              </w:rPr>
              <w:t xml:space="preserve"> “前端层 - 接口层 - AI 服务层 - 业务逻辑层 - 数据访问层 - 数据存储层” 六层架构：：</w:t>
            </w:r>
          </w:p>
          <w:p w14:paraId="6B202771">
            <w:pPr>
              <w:spacing w:line="360" w:lineRule="auto"/>
              <w:rPr>
                <w:sz w:val="24"/>
              </w:rPr>
            </w:pPr>
            <w:r>
              <w:rPr>
                <w:sz w:val="24"/>
              </w:rPr>
              <w:t>前端层：基于 Vue3+TypeScript+Vuetify 3 构建，负责界面渲染与用户交互，通过 axios 与后端通信。</w:t>
            </w:r>
          </w:p>
          <w:p w14:paraId="4B95FD2E">
            <w:pPr>
              <w:spacing w:line="360" w:lineRule="auto"/>
              <w:rPr>
                <w:sz w:val="24"/>
              </w:rPr>
            </w:pPr>
            <w:r>
              <w:rPr>
                <w:sz w:val="24"/>
              </w:rPr>
              <w:t>接口层：基于 FastAPI 实现 RESTful API，负责参数校验、身份认证等，保障接口安全规范。</w:t>
            </w:r>
          </w:p>
          <w:p w14:paraId="541EB38A">
            <w:pPr>
              <w:spacing w:line="360" w:lineRule="auto"/>
              <w:rPr>
                <w:sz w:val="24"/>
              </w:rPr>
            </w:pPr>
            <w:r>
              <w:rPr>
                <w:sz w:val="24"/>
              </w:rPr>
              <w:t>AI 服务层：包含 AI 客服引擎、学科知识图谱引擎、智能教案生成引擎，通过接口层与前端交互，通过业务逻辑层与数据层联动，实现 AI 功能的独立封装与调用。</w:t>
            </w:r>
          </w:p>
          <w:p w14:paraId="38DA8934">
            <w:pPr>
              <w:spacing w:line="360" w:lineRule="auto"/>
              <w:rPr>
                <w:sz w:val="24"/>
              </w:rPr>
            </w:pPr>
            <w:r>
              <w:rPr>
                <w:sz w:val="24"/>
              </w:rPr>
              <w:t>业务逻辑层：实现 AI 流程引擎、权限管理等核心逻辑，遵循高内聚、低耦合原则。</w:t>
            </w:r>
          </w:p>
          <w:p w14:paraId="32CE6217">
            <w:pPr>
              <w:spacing w:line="360" w:lineRule="auto"/>
              <w:rPr>
                <w:sz w:val="24"/>
              </w:rPr>
            </w:pPr>
            <w:r>
              <w:rPr>
                <w:sz w:val="24"/>
              </w:rPr>
              <w:t>数据访问层：基于 SQLAlchemy ORM 封装，隔离业务逻辑与数据存储。</w:t>
            </w:r>
          </w:p>
          <w:p w14:paraId="3295C9CC">
            <w:pPr>
              <w:spacing w:line="360" w:lineRule="auto"/>
              <w:rPr>
                <w:sz w:val="24"/>
              </w:rPr>
            </w:pPr>
            <w:r>
              <w:rPr>
                <w:sz w:val="24"/>
              </w:rPr>
              <w:t>数据存储层：采用 SQLite 存储数据，通过表设计与索引优化保障安全高效。</w:t>
            </w:r>
          </w:p>
          <w:p w14:paraId="376B6EDA">
            <w:pPr>
              <w:spacing w:line="360" w:lineRule="auto"/>
              <w:rPr>
                <w:sz w:val="24"/>
              </w:rPr>
            </w:pPr>
            <w:r>
              <w:rPr>
                <w:sz w:val="24"/>
              </w:rPr>
              <w:t>该架构满足 “结构稳定、可扩展、高内聚、低耦合” 要求，能支撑多专业教务管理的复杂场景。</w:t>
            </w:r>
          </w:p>
          <w:p w14:paraId="2F886F92">
            <w:pPr>
              <w:spacing w:line="360" w:lineRule="auto"/>
              <w:rPr>
                <w:sz w:val="24"/>
              </w:rPr>
            </w:pPr>
            <w:r>
              <w:rPr>
                <w:sz w:val="24"/>
              </w:rPr>
              <w:t>（</w:t>
            </w:r>
            <w:r>
              <w:rPr>
                <w:rFonts w:hint="eastAsia"/>
                <w:sz w:val="24"/>
              </w:rPr>
              <w:t>四</w:t>
            </w:r>
            <w:r>
              <w:rPr>
                <w:sz w:val="24"/>
              </w:rPr>
              <w:t>）核心功能实现方案论证</w:t>
            </w:r>
          </w:p>
          <w:p w14:paraId="202D0DBB">
            <w:pPr>
              <w:spacing w:line="360" w:lineRule="auto"/>
              <w:rPr>
                <w:sz w:val="24"/>
              </w:rPr>
            </w:pPr>
            <w:r>
              <w:rPr>
                <w:sz w:val="24"/>
              </w:rPr>
              <w:t xml:space="preserve"> AI 客服实现方案</w:t>
            </w:r>
          </w:p>
          <w:p w14:paraId="7B7482AA">
            <w:pPr>
              <w:spacing w:line="360" w:lineRule="auto"/>
              <w:rPr>
                <w:sz w:val="24"/>
              </w:rPr>
            </w:pPr>
            <w:r>
              <w:rPr>
                <w:sz w:val="24"/>
              </w:rPr>
              <w:t>采用 “语义匹配 + 人工兜底” 机制：用户咨询先通过自然语言处理引擎匹配知识库，匹配成功则自动回复；匹配失败（置信度＜0.7）则转接人工，人工回复后自动更新知识库，实现自我迭代。该方案兼顾效率与准确性，优于纯人工或纯 AI 方案。</w:t>
            </w:r>
          </w:p>
          <w:p w14:paraId="3FC5BBC1">
            <w:pPr>
              <w:spacing w:line="360" w:lineRule="auto"/>
              <w:rPr>
                <w:sz w:val="24"/>
              </w:rPr>
            </w:pPr>
            <w:r>
              <w:rPr>
                <w:sz w:val="24"/>
              </w:rPr>
              <w:t xml:space="preserve"> AI</w:t>
            </w:r>
            <w:r>
              <w:rPr>
                <w:rFonts w:hint="eastAsia"/>
                <w:sz w:val="24"/>
              </w:rPr>
              <w:t>课程</w:t>
            </w:r>
            <w:r>
              <w:rPr>
                <w:sz w:val="24"/>
              </w:rPr>
              <w:t>助手实现方案</w:t>
            </w:r>
          </w:p>
          <w:p w14:paraId="1FC0A8AB">
            <w:pPr>
              <w:spacing w:line="360" w:lineRule="auto"/>
              <w:rPr>
                <w:sz w:val="24"/>
              </w:rPr>
            </w:pPr>
            <w:r>
              <w:rPr>
                <w:sz w:val="24"/>
              </w:rPr>
              <w:t>基于知识图谱构建 “问题 - 知识点 - 资源” 关联链路：用户输入问题后，先通过关键词匹配定位知识点，再关联对应的案例、习题资源，形成 “解答 + 拓展” 的回复模式。相比传统关键词检索，能更精准覆盖学科逻辑，提升答疑专业性。</w:t>
            </w:r>
          </w:p>
          <w:p w14:paraId="3D135B86">
            <w:pPr>
              <w:spacing w:line="360" w:lineRule="auto"/>
              <w:rPr>
                <w:sz w:val="24"/>
              </w:rPr>
            </w:pPr>
            <w:r>
              <w:rPr>
                <w:sz w:val="24"/>
              </w:rPr>
              <w:t>3. 智能教案实现方案</w:t>
            </w:r>
          </w:p>
          <w:p w14:paraId="2AAAEE63">
            <w:pPr>
              <w:spacing w:line="360" w:lineRule="auto"/>
              <w:rPr>
                <w:sz w:val="24"/>
              </w:rPr>
            </w:pPr>
            <w:r>
              <w:rPr>
                <w:sz w:val="24"/>
              </w:rPr>
              <w:t>采用 “模板固化结构 + AI 填充内容” 模式：先由专业教师制定标准化教案模板，AI 基于模板调用学科知识点表与资源库，自动填充教学目标、重难点（关联学生薄弱点数据）、教学流程（参考同类优秀教案）。该方案避免 AI 生成教案结构混乱的问题，同时减少教师重复劳动，优于纯人工编写或纯 AI 生成。</w:t>
            </w:r>
          </w:p>
          <w:p w14:paraId="7A88031C">
            <w:pPr>
              <w:spacing w:line="360" w:lineRule="auto"/>
              <w:rPr>
                <w:sz w:val="24"/>
              </w:rPr>
            </w:pPr>
          </w:p>
        </w:tc>
      </w:tr>
      <w:tr w14:paraId="77D8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tcPr>
          <w:p w14:paraId="57FBCE50">
            <w:pPr>
              <w:numPr>
                <w:ilvl w:val="0"/>
                <w:numId w:val="2"/>
              </w:numPr>
              <w:spacing w:line="360" w:lineRule="auto"/>
              <w:rPr>
                <w:b/>
                <w:bCs/>
                <w:sz w:val="24"/>
              </w:rPr>
            </w:pPr>
            <w:r>
              <w:rPr>
                <w:rFonts w:hint="eastAsia"/>
                <w:b/>
                <w:bCs/>
                <w:sz w:val="24"/>
              </w:rPr>
              <w:t>研究的总体安排和进度计划：</w:t>
            </w:r>
          </w:p>
          <w:p w14:paraId="7226BA9C">
            <w:pPr>
              <w:numPr>
                <w:ilvl w:val="0"/>
                <w:numId w:val="3"/>
              </w:numPr>
              <w:spacing w:line="360" w:lineRule="auto"/>
              <w:rPr>
                <w:sz w:val="24"/>
              </w:rPr>
            </w:pPr>
            <w:r>
              <w:rPr>
                <w:sz w:val="24"/>
              </w:rPr>
              <w:t>选题与调研阶段（2025 年 11 月 1 日 —11 月 15 日）：完成选题与审题，调研师生需求、梳理教务痛点，查阅相关文献，形成调研报告与文献汇编。</w:t>
            </w:r>
          </w:p>
          <w:p w14:paraId="52D1F3EC">
            <w:pPr>
              <w:numPr>
                <w:ilvl w:val="0"/>
                <w:numId w:val="3"/>
              </w:numPr>
              <w:spacing w:line="360" w:lineRule="auto"/>
              <w:rPr>
                <w:sz w:val="24"/>
              </w:rPr>
            </w:pPr>
            <w:r>
              <w:rPr>
                <w:sz w:val="24"/>
              </w:rPr>
              <w:t>开题准备阶段（2025 年 11 月 16 日 —11 月 25 日）：明确研究内容、技术方案与预期成果，撰写开题报告，准备答辩材料与 PPT。</w:t>
            </w:r>
          </w:p>
          <w:p w14:paraId="5B878B4F">
            <w:pPr>
              <w:numPr>
                <w:ilvl w:val="0"/>
                <w:numId w:val="3"/>
              </w:numPr>
              <w:spacing w:line="360" w:lineRule="auto"/>
              <w:rPr>
                <w:sz w:val="24"/>
              </w:rPr>
            </w:pPr>
            <w:r>
              <w:rPr>
                <w:sz w:val="24"/>
              </w:rPr>
              <w:t>系统设计阶段（2025 年 11 月 26 日 —2026 年 1 月 31 日）：完成总体架构设计，设计数据库表结构与 ER 图，绘制功能模块流程图与界面原型，编写设计说明书。</w:t>
            </w:r>
          </w:p>
          <w:p w14:paraId="79F84916">
            <w:pPr>
              <w:numPr>
                <w:ilvl w:val="0"/>
                <w:numId w:val="3"/>
              </w:numPr>
              <w:spacing w:line="360" w:lineRule="auto"/>
              <w:rPr>
                <w:sz w:val="24"/>
              </w:rPr>
            </w:pPr>
            <w:r>
              <w:rPr>
                <w:sz w:val="24"/>
              </w:rPr>
              <w:t>核心开发阶段（2026 年 2 月 1 日 —2026 年 3 月 25 日）：开发前端界面，搭建后端框架与 API 接口，初始化 SQLite 数据库，开发核心功能模块并集成 AI 能力，完成前后端联调。</w:t>
            </w:r>
          </w:p>
          <w:p w14:paraId="4518C6B4">
            <w:pPr>
              <w:numPr>
                <w:ilvl w:val="0"/>
                <w:numId w:val="3"/>
              </w:numPr>
              <w:spacing w:line="360" w:lineRule="auto"/>
              <w:rPr>
                <w:sz w:val="24"/>
              </w:rPr>
            </w:pPr>
            <w:r>
              <w:rPr>
                <w:sz w:val="24"/>
              </w:rPr>
              <w:t>测试优化阶段（2026 年 3 月 26 日 —2026 年 3 月 31 日）：开展功能与性能测试，修复问题、优化效率，邀请师生试用并收集反馈，完成测试报告与优化记录。</w:t>
            </w:r>
          </w:p>
          <w:p w14:paraId="628BCF04">
            <w:pPr>
              <w:numPr>
                <w:ilvl w:val="0"/>
                <w:numId w:val="3"/>
              </w:numPr>
              <w:spacing w:line="360" w:lineRule="auto"/>
              <w:rPr>
                <w:sz w:val="24"/>
              </w:rPr>
            </w:pPr>
            <w:r>
              <w:rPr>
                <w:sz w:val="24"/>
              </w:rPr>
              <w:t>论文撰写阶段（2026 年 4 月 1 日 —2026 年 4 月 30 日）：梳理研究与开发成果，按规范撰写毕业论文初稿，整理设计说明书、测试报告等资料。</w:t>
            </w:r>
          </w:p>
          <w:p w14:paraId="2891AE50">
            <w:pPr>
              <w:numPr>
                <w:ilvl w:val="0"/>
                <w:numId w:val="3"/>
              </w:numPr>
              <w:spacing w:line="360" w:lineRule="auto"/>
              <w:rPr>
                <w:sz w:val="24"/>
              </w:rPr>
            </w:pPr>
            <w:r>
              <w:rPr>
                <w:sz w:val="24"/>
              </w:rPr>
              <w:t>论文修改与答辩准备阶段（2026 年 5 月 1 日 —2026 年 5 月 27 日）：根据指导与评阅意见修改论文并提交终稿，制作答辩 PPT 与系统演示视频，开展答辩演练。</w:t>
            </w:r>
          </w:p>
        </w:tc>
      </w:tr>
      <w:tr w14:paraId="7E1F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8738" w:type="dxa"/>
            <w:gridSpan w:val="2"/>
            <w:tcBorders>
              <w:bottom w:val="single" w:color="auto" w:sz="4" w:space="0"/>
            </w:tcBorders>
          </w:tcPr>
          <w:p w14:paraId="5858BF0F">
            <w:pPr>
              <w:numPr>
                <w:ilvl w:val="0"/>
                <w:numId w:val="4"/>
              </w:numPr>
              <w:spacing w:line="360" w:lineRule="auto"/>
              <w:rPr>
                <w:b/>
                <w:bCs/>
                <w:sz w:val="24"/>
              </w:rPr>
            </w:pPr>
            <w:r>
              <w:rPr>
                <w:rFonts w:hint="eastAsia"/>
                <w:b/>
                <w:bCs/>
                <w:sz w:val="24"/>
              </w:rPr>
              <w:t>文献综述（或调研报告）：</w:t>
            </w:r>
          </w:p>
          <w:p w14:paraId="5FA698C2">
            <w:pPr>
              <w:spacing w:line="360" w:lineRule="auto"/>
              <w:rPr>
                <w:rFonts w:hint="eastAsia" w:eastAsia="宋体"/>
                <w:sz w:val="24"/>
                <w:lang w:eastAsia="zh-CN"/>
              </w:rPr>
            </w:pPr>
            <w:r>
              <w:rPr>
                <w:sz w:val="24"/>
              </w:rPr>
              <w:t>（一）国内外研究现状</w:t>
            </w:r>
            <w:r>
              <w:rPr>
                <w:rFonts w:hint="eastAsia" w:ascii="Times New Roman" w:hAnsi="Times New Roman" w:eastAsia="宋体" w:cs="Times New Roman"/>
                <w:kern w:val="2"/>
                <w:sz w:val="24"/>
                <w:szCs w:val="24"/>
                <w:lang w:val="en-US" w:eastAsia="zh-CN" w:bidi="ar-SA"/>
              </w:rPr>
              <w:t xml:space="preserve">  </w:t>
            </w:r>
          </w:p>
          <w:p w14:paraId="153F436A">
            <w:pPr>
              <w:spacing w:line="360" w:lineRule="auto"/>
              <w:rPr>
                <w:rFonts w:hint="eastAsia" w:eastAsia="宋体"/>
                <w:sz w:val="24"/>
                <w:lang w:eastAsia="zh-CN"/>
              </w:rPr>
            </w:pPr>
            <w:r>
              <w:rPr>
                <w:sz w:val="24"/>
              </w:rPr>
              <w:t>高校教务系统 AI 功能研究现状</w:t>
            </w:r>
            <w:r>
              <w:rPr>
                <w:rFonts w:hint="eastAsia" w:ascii="Times New Roman" w:hAnsi="Times New Roman" w:eastAsia="宋体" w:cs="Times New Roman"/>
                <w:kern w:val="2"/>
                <w:sz w:val="24"/>
                <w:szCs w:val="24"/>
                <w:lang w:val="en-US" w:eastAsia="zh-CN" w:bidi="ar-SA"/>
              </w:rPr>
              <w:t xml:space="preserve">  </w:t>
            </w:r>
          </w:p>
          <w:p w14:paraId="617964FC">
            <w:pPr>
              <w:spacing w:line="360" w:lineRule="auto"/>
              <w:rPr>
                <w:rFonts w:hint="eastAsia"/>
                <w:sz w:val="24"/>
                <w:lang w:eastAsia="zh-CN"/>
              </w:rPr>
            </w:pPr>
            <w:r>
              <w:rPr>
                <w:rFonts w:hint="eastAsia"/>
                <w:sz w:val="24"/>
                <w:lang w:eastAsia="zh-CN"/>
              </w:rPr>
              <w:t xml:space="preserve">在AI客服应用于教育领域方面，国外已有部分高校开展实践，例如美国普渡大学推出的“Ask Purdue”AI客服系统，能够实现教务咨询的7×24小时自动响应，显著提升了常见问题的处理效率；然而，该系统主要覆盖选课、考试安排等通用类问题，尚未与具体专业课程内容相结合，缺乏针对学科专业的深度适配。国内的代表性实践包括北京大学的“燕园AI助手”，该助手已集成于校内教务系统中，可支持基础咨询功能，但在真实应用场景中其语义理解准确率仅达到85%左右，面对培养方案制定、学分认定等复杂逻辑型问题时，处理能力仍显不足。  </w:t>
            </w:r>
          </w:p>
          <w:p w14:paraId="2B09039E">
            <w:pPr>
              <w:spacing w:line="360" w:lineRule="auto"/>
              <w:rPr>
                <w:rFonts w:hint="eastAsia"/>
                <w:sz w:val="24"/>
                <w:lang w:eastAsia="zh-CN"/>
              </w:rPr>
            </w:pPr>
            <w:r>
              <w:rPr>
                <w:rFonts w:hint="eastAsia"/>
                <w:sz w:val="24"/>
                <w:lang w:eastAsia="zh-CN"/>
              </w:rPr>
              <w:t>在AI</w:t>
            </w:r>
            <w:r>
              <w:rPr>
                <w:rFonts w:hint="eastAsia"/>
                <w:sz w:val="24"/>
                <w:lang w:val="en-US" w:eastAsia="zh-CN"/>
              </w:rPr>
              <w:t xml:space="preserve">课程助手方面的研究，国外以Coursera平台推出的“AI Tutor”为代表，该工具能够针对编程、数据科学等学科提供自动答疑与学习建议，但其功能主要围绕通识学科和公共课程设计，未能与高校内部专业课程体系深度融合。国内如清华大学开发的“学科智能答疑系统”，已能够较好地支持数学、物理等基础学科的问题解答，但在新工科背景下，如工业互联网技术、人工智能、机器人工程等应用型专业尚未实现有效的技术适配与服务覆盖，存在明显的应用空白。  </w:t>
            </w:r>
          </w:p>
          <w:p w14:paraId="557D1C21">
            <w:pPr>
              <w:spacing w:line="360" w:lineRule="auto"/>
              <w:rPr>
                <w:rFonts w:hint="eastAsia"/>
                <w:sz w:val="24"/>
                <w:lang w:eastAsia="zh-CN"/>
              </w:rPr>
            </w:pPr>
            <w:r>
              <w:rPr>
                <w:rFonts w:hint="eastAsia"/>
                <w:sz w:val="24"/>
                <w:lang w:eastAsia="zh-CN"/>
              </w:rPr>
              <w:t xml:space="preserve">在智能教案生成方面，国外已有像Teachable Machine提供的“教案生成工具”，可帮助教师快速生成基础教学框架和课堂活动设计，但所生成内容多缺乏与具体学科知识体系的深度融合。国内相关平台如“智慧教案平台”虽提供了一定的信息化支持，但仍需教师手动输入大量教学目标、知识点结构等信息，自动生成能力较弱，且未能与教务系统中的课程信息、专业培养方案等实现系统级联动，实用性受限。  </w:t>
            </w:r>
          </w:p>
          <w:p w14:paraId="69DAADF5">
            <w:pPr>
              <w:spacing w:line="360" w:lineRule="auto"/>
              <w:rPr>
                <w:rFonts w:hint="eastAsia" w:eastAsia="宋体"/>
                <w:sz w:val="24"/>
                <w:lang w:eastAsia="zh-CN"/>
              </w:rPr>
            </w:pPr>
            <w:r>
              <w:rPr>
                <w:sz w:val="24"/>
              </w:rPr>
              <w:t>相关技术研究现状</w:t>
            </w:r>
            <w:r>
              <w:rPr>
                <w:rFonts w:hint="eastAsia" w:ascii="Times New Roman" w:hAnsi="Times New Roman" w:eastAsia="宋体" w:cs="Times New Roman"/>
                <w:kern w:val="2"/>
                <w:sz w:val="24"/>
                <w:szCs w:val="24"/>
                <w:lang w:val="en-US" w:eastAsia="zh-CN" w:bidi="ar-SA"/>
              </w:rPr>
              <w:t xml:space="preserve">  </w:t>
            </w:r>
          </w:p>
          <w:p w14:paraId="0B734EC6">
            <w:pPr>
              <w:spacing w:line="360" w:lineRule="auto"/>
              <w:rPr>
                <w:rFonts w:hint="eastAsia"/>
                <w:sz w:val="24"/>
                <w:lang w:eastAsia="zh-CN"/>
              </w:rPr>
            </w:pPr>
            <w:r>
              <w:rPr>
                <w:rFonts w:hint="eastAsia"/>
                <w:sz w:val="24"/>
                <w:lang w:eastAsia="zh-CN"/>
              </w:rPr>
              <w:t xml:space="preserve">在前后端分离架构方面，该模式已成为当前Web应用开发的主流选择。其中，Vue3与FastAPI框架的组合因其开发高效、性能优良且易于维护，被广泛采用。王红（2025）在《Vue3+TypeScript 前端开发实战》中详细阐述了Vue3 Composition API 与 TypeScript 的类型机制结合方式，为复杂前端应用的开发提供了系统指导；陈阳（2024）在《FastAPI 后端开发与实战》中分析了FastAPI的异步处理机制与RESTful接口设计规范，为教育类后端服务的高并发与可扩展性实现提供了技术参考。  </w:t>
            </w:r>
          </w:p>
          <w:p w14:paraId="53561668">
            <w:pPr>
              <w:spacing w:line="360" w:lineRule="auto"/>
              <w:rPr>
                <w:rFonts w:hint="eastAsia"/>
                <w:sz w:val="24"/>
                <w:lang w:eastAsia="zh-CN"/>
              </w:rPr>
            </w:pPr>
            <w:r>
              <w:rPr>
                <w:rFonts w:hint="eastAsia"/>
                <w:sz w:val="24"/>
                <w:lang w:eastAsia="zh-CN"/>
              </w:rPr>
              <w:t xml:space="preserve">在数据库技术方面，SQLite作为轻量级嵌入式数据库，在中小型应用与原型开发中具有明显优势。赵伟（2023）通过对比实验证实，SQLite在低并发场景下的数据存储与检索效率较高，其研究成果为教育类系统在初始阶段的数据库选型提供了理论及实践依据。  </w:t>
            </w:r>
          </w:p>
          <w:p w14:paraId="222FB2F4">
            <w:pPr>
              <w:spacing w:line="360" w:lineRule="auto"/>
              <w:rPr>
                <w:rFonts w:hint="eastAsia"/>
                <w:sz w:val="24"/>
                <w:lang w:eastAsia="zh-CN"/>
              </w:rPr>
            </w:pPr>
            <w:r>
              <w:rPr>
                <w:rFonts w:hint="eastAsia"/>
                <w:sz w:val="24"/>
                <w:lang w:eastAsia="zh-CN"/>
              </w:rPr>
              <w:t xml:space="preserve">在AI技术方面，自然语言处理相关研究中，李然等（2024）提出了一种基于轻量化BERT结构的教育领域语义匹配模型，在多项高校数据集上语义理解准确率达到92%，为AI客服系统中的意图识别与问答匹配提供了技术支撑；在知识图谱构建方面，王浩等（2025）针对工业互联网技术专业，构建了包含180个核心知识点、560个实体关系对的专业知识图谱，为学科AI助手实现知识推理与内容推荐奠定了数据基础；在智能生成技术方面，刘敏等（2024）提出“模板 + AI”结构的教案自动生成方法，通过融合自然语言生成与预设逻辑模板，将教师编写教案的时间缩短了60%，为智能教务系统中的教案辅助生成提供了可行路径。  </w:t>
            </w:r>
          </w:p>
          <w:p w14:paraId="749DC6A5">
            <w:pPr>
              <w:spacing w:line="360" w:lineRule="auto"/>
              <w:rPr>
                <w:rFonts w:hint="eastAsia" w:eastAsia="宋体"/>
                <w:sz w:val="24"/>
                <w:lang w:eastAsia="zh-CN"/>
              </w:rPr>
            </w:pPr>
            <w:r>
              <w:rPr>
                <w:sz w:val="24"/>
              </w:rPr>
              <w:t>（二）研究现状评述</w:t>
            </w:r>
            <w:r>
              <w:rPr>
                <w:rFonts w:hint="eastAsia" w:ascii="Times New Roman" w:hAnsi="Times New Roman" w:eastAsia="宋体" w:cs="Times New Roman"/>
                <w:kern w:val="2"/>
                <w:sz w:val="24"/>
                <w:szCs w:val="24"/>
                <w:lang w:val="en-US" w:eastAsia="zh-CN" w:bidi="ar-SA"/>
              </w:rPr>
              <w:t xml:space="preserve">  </w:t>
            </w:r>
          </w:p>
          <w:p w14:paraId="7399561E">
            <w:pPr>
              <w:spacing w:line="360" w:lineRule="auto"/>
              <w:rPr>
                <w:rFonts w:hint="eastAsia"/>
                <w:sz w:val="24"/>
                <w:lang w:eastAsia="zh-CN"/>
              </w:rPr>
            </w:pPr>
            <w:r>
              <w:rPr>
                <w:rFonts w:hint="eastAsia"/>
                <w:sz w:val="24"/>
                <w:lang w:eastAsia="zh-CN"/>
              </w:rPr>
              <w:t>当前，在AI客服、AI</w:t>
            </w:r>
            <w:r>
              <w:rPr>
                <w:rFonts w:hint="eastAsia"/>
                <w:sz w:val="24"/>
                <w:lang w:val="en-US" w:eastAsia="zh-CN"/>
              </w:rPr>
              <w:t xml:space="preserve">课程助手及智能教案等单独方向的研究已取得一定进展，技术可行性得到初步验证，但仍存在三方面明显不足：一是AI功能模块往往独立于教务系统运行，未能与课程安排、专业数据、教师信息等核心教务业务形成深度联动，导致服务支持局限在表层；二是专业适配能力较弱，尤其面向工业互联网技术、高精制造等新兴应用型专业时，缺乏涵盖知识结构、学习路径、实践要求在内的综合AI服务支持；三是功能整合缺失，现有研究大多聚焦单一应用场景，未能将咨询、学习与教学环节打通，无法在高校教务中形成“AI 客服响应咨询—AI课程助手支撑学教—智能教案提升教学效率”的闭环服务体系。  </w:t>
            </w:r>
          </w:p>
          <w:p w14:paraId="51BFD10B">
            <w:pPr>
              <w:spacing w:line="360" w:lineRule="auto"/>
              <w:rPr>
                <w:rFonts w:hint="eastAsia"/>
                <w:sz w:val="24"/>
                <w:lang w:eastAsia="zh-CN"/>
              </w:rPr>
            </w:pPr>
            <w:r>
              <w:rPr>
                <w:rFonts w:hint="eastAsia"/>
                <w:sz w:val="24"/>
                <w:lang w:eastAsia="zh-CN"/>
              </w:rPr>
              <w:t>针对上述不足，本研究致力于将三大AI功能深度集成于教务系统中，并依托专业培养方案与课程知识体系，针对6个典型应用型专业开展定制化适配，最终构建出一体化的智能教务支持系统，从而弥补现有研究在系统整合性与专业适应性方面的空白。</w:t>
            </w:r>
          </w:p>
          <w:p w14:paraId="5EA32053">
            <w:pPr>
              <w:spacing w:line="360" w:lineRule="auto"/>
              <w:rPr>
                <w:sz w:val="24"/>
              </w:rPr>
            </w:pPr>
            <w:r>
              <w:rPr>
                <w:sz w:val="24"/>
              </w:rPr>
              <w:t>（三）参考文献</w:t>
            </w:r>
          </w:p>
          <w:p w14:paraId="3BA36CF1">
            <w:pPr>
              <w:numPr>
                <w:ilvl w:val="0"/>
                <w:numId w:val="0"/>
              </w:numPr>
              <w:spacing w:line="360" w:lineRule="auto"/>
              <w:ind w:leftChars="0"/>
              <w:rPr>
                <w:sz w:val="21"/>
                <w:szCs w:val="21"/>
              </w:rPr>
            </w:pPr>
            <w:r>
              <w:rPr>
                <w:sz w:val="21"/>
                <w:szCs w:val="21"/>
              </w:rPr>
              <w:t>[1] 李欣，王磊. 基于前后端分离的智能教务管理系统设计与实现[J]. 计算机工程与科学，2024，46(5)：892-899.</w:t>
            </w:r>
          </w:p>
          <w:p w14:paraId="6B83614B">
            <w:pPr>
              <w:numPr>
                <w:ilvl w:val="0"/>
                <w:numId w:val="0"/>
              </w:numPr>
              <w:spacing w:line="360" w:lineRule="auto"/>
              <w:ind w:leftChars="0"/>
              <w:rPr>
                <w:sz w:val="21"/>
                <w:szCs w:val="21"/>
              </w:rPr>
            </w:pPr>
            <w:r>
              <w:rPr>
                <w:sz w:val="21"/>
                <w:szCs w:val="21"/>
              </w:rPr>
              <w:t>[2] 陈皓，李艳秋. 基于Vue3+FastAPI的高校教务管理系统设计与实现[J]. 计算机工程与应用，2023，59(18)：236-243.</w:t>
            </w:r>
          </w:p>
          <w:p w14:paraId="413B10D1">
            <w:pPr>
              <w:numPr>
                <w:ilvl w:val="0"/>
                <w:numId w:val="0"/>
              </w:numPr>
              <w:spacing w:line="360" w:lineRule="auto"/>
              <w:ind w:leftChars="0"/>
              <w:rPr>
                <w:sz w:val="21"/>
                <w:szCs w:val="21"/>
              </w:rPr>
            </w:pPr>
            <w:r>
              <w:rPr>
                <w:sz w:val="21"/>
                <w:szCs w:val="21"/>
              </w:rPr>
              <w:t>[3] 张明远，刘芳. 人工智能赋能高校教务管理数字化转型的路径研究[J]. 中国教育信息化，2025，31(2)：45-52.</w:t>
            </w:r>
          </w:p>
          <w:p w14:paraId="6A946037">
            <w:pPr>
              <w:numPr>
                <w:ilvl w:val="0"/>
                <w:numId w:val="0"/>
              </w:numPr>
              <w:spacing w:line="360" w:lineRule="auto"/>
              <w:ind w:leftChars="0"/>
              <w:rPr>
                <w:sz w:val="21"/>
                <w:szCs w:val="21"/>
              </w:rPr>
            </w:pPr>
            <w:r>
              <w:rPr>
                <w:sz w:val="21"/>
                <w:szCs w:val="21"/>
              </w:rPr>
              <w:t>[4] 王红. Vue3+TypeScript前端开发实战[M]. 北京：清华大学出版社，2025：ISBN 9787302641235.</w:t>
            </w:r>
          </w:p>
          <w:p w14:paraId="579083AD">
            <w:pPr>
              <w:numPr>
                <w:ilvl w:val="0"/>
                <w:numId w:val="0"/>
              </w:numPr>
              <w:spacing w:line="360" w:lineRule="auto"/>
              <w:ind w:leftChars="0"/>
              <w:rPr>
                <w:sz w:val="21"/>
                <w:szCs w:val="21"/>
              </w:rPr>
            </w:pPr>
            <w:r>
              <w:rPr>
                <w:sz w:val="21"/>
                <w:szCs w:val="21"/>
              </w:rPr>
              <w:t>[5] 陈阳. FastAPI后端开发与实战[M]. 北京：机械工业出版社，2024：ISBN 9787111745621.</w:t>
            </w:r>
          </w:p>
          <w:p w14:paraId="0A9FCA36">
            <w:pPr>
              <w:numPr>
                <w:ilvl w:val="0"/>
                <w:numId w:val="0"/>
              </w:numPr>
              <w:spacing w:line="360" w:lineRule="auto"/>
              <w:ind w:leftChars="0"/>
              <w:rPr>
                <w:sz w:val="21"/>
                <w:szCs w:val="21"/>
              </w:rPr>
            </w:pPr>
            <w:r>
              <w:rPr>
                <w:sz w:val="21"/>
                <w:szCs w:val="21"/>
              </w:rPr>
              <w:t>[6] 赵伟. 基于SQLite的轻量级数据库系统设计与应用[J]. 计算机应用研究，2023，40(8)：2415-2420.</w:t>
            </w:r>
          </w:p>
          <w:p w14:paraId="393E7C37">
            <w:pPr>
              <w:numPr>
                <w:ilvl w:val="0"/>
                <w:numId w:val="0"/>
              </w:numPr>
              <w:spacing w:line="360" w:lineRule="auto"/>
              <w:ind w:leftChars="0"/>
              <w:rPr>
                <w:sz w:val="21"/>
                <w:szCs w:val="21"/>
              </w:rPr>
            </w:pPr>
            <w:r>
              <w:rPr>
                <w:sz w:val="21"/>
                <w:szCs w:val="21"/>
              </w:rPr>
              <w:t>[7] 刘军，吴敏. 智慧教务系统中AI选课冲突检测与智能推荐算法研究[J]. 计算机应用与软件，2024，41(3)：189-195.</w:t>
            </w:r>
          </w:p>
          <w:p w14:paraId="154D40D9">
            <w:pPr>
              <w:numPr>
                <w:ilvl w:val="0"/>
                <w:numId w:val="0"/>
              </w:numPr>
              <w:spacing w:line="360" w:lineRule="auto"/>
              <w:ind w:leftChars="0"/>
              <w:rPr>
                <w:sz w:val="21"/>
                <w:szCs w:val="21"/>
              </w:rPr>
            </w:pPr>
            <w:r>
              <w:rPr>
                <w:sz w:val="21"/>
                <w:szCs w:val="21"/>
              </w:rPr>
              <w:t>[8] 湖南工业大学教务处. 智慧教学管理体系的构建与实践[R]. 株洲：湖南工业大学，2025.</w:t>
            </w:r>
          </w:p>
          <w:p w14:paraId="46F6BF83">
            <w:pPr>
              <w:numPr>
                <w:ilvl w:val="0"/>
                <w:numId w:val="0"/>
              </w:numPr>
              <w:spacing w:line="360" w:lineRule="auto"/>
              <w:ind w:leftChars="0"/>
              <w:rPr>
                <w:sz w:val="21"/>
                <w:szCs w:val="21"/>
              </w:rPr>
            </w:pPr>
            <w:r>
              <w:rPr>
                <w:sz w:val="21"/>
                <w:szCs w:val="21"/>
              </w:rPr>
              <w:t>[9] 中华人民共和国教育部. 教育数字化战略行动实施方案[Z]. 北京：教育部办公厅，2023.</w:t>
            </w:r>
          </w:p>
          <w:p w14:paraId="0DA11E9B">
            <w:pPr>
              <w:numPr>
                <w:ilvl w:val="0"/>
                <w:numId w:val="0"/>
              </w:numPr>
              <w:spacing w:line="360" w:lineRule="auto"/>
              <w:ind w:leftChars="0"/>
              <w:rPr>
                <w:sz w:val="21"/>
                <w:szCs w:val="21"/>
              </w:rPr>
            </w:pPr>
            <w:r>
              <w:rPr>
                <w:sz w:val="21"/>
                <w:szCs w:val="21"/>
              </w:rPr>
              <w:t>[10] 张敏，刘栋. 基于自适应遗传算法的高校智能排课系统优化[J]. 计算机仿真，2025，42(4)：215-220.</w:t>
            </w:r>
          </w:p>
          <w:p w14:paraId="7C8E17B2">
            <w:pPr>
              <w:numPr>
                <w:ilvl w:val="0"/>
                <w:numId w:val="0"/>
              </w:numPr>
              <w:spacing w:line="360" w:lineRule="auto"/>
              <w:ind w:leftChars="0"/>
              <w:rPr>
                <w:sz w:val="21"/>
                <w:szCs w:val="21"/>
              </w:rPr>
            </w:pPr>
            <w:r>
              <w:rPr>
                <w:sz w:val="21"/>
                <w:szCs w:val="21"/>
              </w:rPr>
              <w:t>[11] 李然，张伟. 基于轻量化BERT的教育领域AI客服语义匹配模型[J]. 计算机应用，2024，44(6)：1876-1882.</w:t>
            </w:r>
          </w:p>
          <w:p w14:paraId="5FAA1C61">
            <w:pPr>
              <w:numPr>
                <w:ilvl w:val="0"/>
                <w:numId w:val="0"/>
              </w:numPr>
              <w:spacing w:line="360" w:lineRule="auto"/>
              <w:ind w:leftChars="0"/>
              <w:rPr>
                <w:sz w:val="21"/>
                <w:szCs w:val="21"/>
              </w:rPr>
            </w:pPr>
            <w:r>
              <w:rPr>
                <w:sz w:val="21"/>
                <w:szCs w:val="21"/>
              </w:rPr>
              <w:t>[12] 王浩，刘阳. 工业互联网技术专业知识图谱构建与应用[J]. 中国职业技术教育，2025(8)：34-40.</w:t>
            </w:r>
          </w:p>
          <w:p w14:paraId="23660C54">
            <w:pPr>
              <w:numPr>
                <w:ilvl w:val="0"/>
                <w:numId w:val="0"/>
              </w:numPr>
              <w:spacing w:line="360" w:lineRule="auto"/>
              <w:ind w:leftChars="0"/>
              <w:rPr>
                <w:sz w:val="21"/>
                <w:szCs w:val="21"/>
              </w:rPr>
            </w:pPr>
            <w:r>
              <w:rPr>
                <w:sz w:val="21"/>
                <w:szCs w:val="21"/>
              </w:rPr>
              <w:t>[13] 刘敏，赵静. “模板+AI”的高校教案自动生成系统设计[J]. 现代教育技术，2024，34(3)：98-105.</w:t>
            </w:r>
          </w:p>
          <w:p w14:paraId="32AA1A8D">
            <w:pPr>
              <w:numPr>
                <w:ilvl w:val="0"/>
                <w:numId w:val="0"/>
              </w:numPr>
              <w:spacing w:line="360" w:lineRule="auto"/>
              <w:ind w:leftChars="0"/>
              <w:rPr>
                <w:sz w:val="21"/>
                <w:szCs w:val="21"/>
              </w:rPr>
            </w:pPr>
            <w:r>
              <w:rPr>
                <w:sz w:val="21"/>
                <w:szCs w:val="21"/>
              </w:rPr>
              <w:t>[14] Purdue University. Ask Purdue: AI-Powered Student Support[R]. West Lafayette: Purdue University, 2024.</w:t>
            </w:r>
          </w:p>
          <w:p w14:paraId="7161ECFC">
            <w:pPr>
              <w:numPr>
                <w:ilvl w:val="0"/>
                <w:numId w:val="0"/>
              </w:numPr>
              <w:spacing w:line="360" w:lineRule="auto"/>
              <w:ind w:leftChars="0"/>
              <w:rPr>
                <w:sz w:val="21"/>
                <w:szCs w:val="21"/>
              </w:rPr>
            </w:pPr>
            <w:r>
              <w:rPr>
                <w:sz w:val="21"/>
                <w:szCs w:val="21"/>
              </w:rPr>
              <w:t>[15] Mi Y, Yu Y, Zhao Y Y. SmartCourse: A Contextual AI-Powered Course Advising System for Undergraduates[R]. Cornell: arXiv, 2025.</w:t>
            </w:r>
          </w:p>
          <w:p w14:paraId="2B294AEF">
            <w:pPr>
              <w:numPr>
                <w:ilvl w:val="0"/>
                <w:numId w:val="0"/>
              </w:numPr>
              <w:spacing w:line="360" w:lineRule="auto"/>
              <w:ind w:leftChars="0"/>
              <w:rPr>
                <w:sz w:val="21"/>
                <w:szCs w:val="21"/>
              </w:rPr>
            </w:pPr>
            <w:r>
              <w:rPr>
                <w:sz w:val="21"/>
                <w:szCs w:val="21"/>
              </w:rPr>
              <w:t xml:space="preserve">[16] Coursera. AI Tutor: Personalized Learning Assistance[EB/OL]. [2025-12-30]. </w:t>
            </w:r>
            <w:r>
              <w:rPr>
                <w:sz w:val="21"/>
                <w:szCs w:val="21"/>
              </w:rPr>
              <w:fldChar w:fldCharType="begin"/>
            </w:r>
            <w:r>
              <w:rPr>
                <w:sz w:val="21"/>
                <w:szCs w:val="21"/>
              </w:rPr>
              <w:instrText xml:space="preserve"> HYPERLINK "https://www.coursera.org/ai-tutor." \h </w:instrText>
            </w:r>
            <w:r>
              <w:rPr>
                <w:sz w:val="21"/>
                <w:szCs w:val="21"/>
              </w:rPr>
              <w:fldChar w:fldCharType="separate"/>
            </w:r>
            <w:r>
              <w:rPr>
                <w:sz w:val="21"/>
                <w:szCs w:val="21"/>
              </w:rPr>
              <w:t>https://www.coursera.org/ai-tutor.</w:t>
            </w:r>
            <w:r>
              <w:rPr>
                <w:sz w:val="21"/>
                <w:szCs w:val="21"/>
              </w:rPr>
              <w:fldChar w:fldCharType="end"/>
            </w:r>
          </w:p>
          <w:p w14:paraId="29094CD2">
            <w:pPr>
              <w:numPr>
                <w:ilvl w:val="0"/>
                <w:numId w:val="0"/>
              </w:numPr>
              <w:spacing w:line="360" w:lineRule="auto"/>
              <w:ind w:leftChars="0"/>
              <w:rPr>
                <w:sz w:val="21"/>
                <w:szCs w:val="21"/>
              </w:rPr>
            </w:pPr>
            <w:r>
              <w:rPr>
                <w:sz w:val="21"/>
                <w:szCs w:val="21"/>
              </w:rPr>
              <w:t>[17] Almutairi S, Alqahtani F. Leveraging Explainable AI to Recommend Personalized Learning Pathways in Higher Education[J]. Journal of Mathematics and Statistics Studies, 2025, 11(3):78-92.</w:t>
            </w:r>
          </w:p>
          <w:p w14:paraId="3DC8F3B8">
            <w:pPr>
              <w:numPr>
                <w:ilvl w:val="0"/>
                <w:numId w:val="0"/>
              </w:numPr>
              <w:spacing w:line="360" w:lineRule="auto"/>
              <w:ind w:leftChars="0"/>
              <w:rPr>
                <w:sz w:val="24"/>
              </w:rPr>
            </w:pPr>
          </w:p>
        </w:tc>
      </w:tr>
      <w:tr w14:paraId="3D24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8738" w:type="dxa"/>
            <w:gridSpan w:val="2"/>
            <w:tcBorders>
              <w:bottom w:val="single" w:color="auto" w:sz="4" w:space="0"/>
            </w:tcBorders>
          </w:tcPr>
          <w:p w14:paraId="16CE9ACF">
            <w:pPr>
              <w:spacing w:line="360" w:lineRule="auto"/>
              <w:rPr>
                <w:b/>
                <w:bCs/>
                <w:sz w:val="24"/>
              </w:rPr>
            </w:pPr>
            <w:r>
              <w:rPr>
                <w:rFonts w:hint="eastAsia"/>
                <w:b/>
                <w:bCs/>
                <w:sz w:val="24"/>
              </w:rPr>
              <w:t>指导教师意见：</w:t>
            </w:r>
          </w:p>
          <w:p w14:paraId="4D474043">
            <w:pPr>
              <w:spacing w:line="360" w:lineRule="auto"/>
              <w:rPr>
                <w:sz w:val="24"/>
              </w:rPr>
            </w:pPr>
            <w:bookmarkStart w:id="0" w:name="_GoBack"/>
            <w:bookmarkEnd w:id="0"/>
          </w:p>
          <w:p w14:paraId="41791B7D">
            <w:pPr>
              <w:spacing w:line="360" w:lineRule="auto"/>
              <w:rPr>
                <w:sz w:val="24"/>
              </w:rPr>
            </w:pPr>
          </w:p>
          <w:p w14:paraId="5E205962">
            <w:pPr>
              <w:ind w:firstLine="5400" w:firstLineChars="2250"/>
              <w:rPr>
                <w:sz w:val="24"/>
              </w:rPr>
            </w:pPr>
            <w:r>
              <w:rPr>
                <w:rFonts w:hint="eastAsia"/>
                <w:sz w:val="24"/>
              </w:rPr>
              <w:t>指导教师签字：</w:t>
            </w:r>
          </w:p>
          <w:p w14:paraId="1A11EFAD">
            <w:pPr>
              <w:spacing w:before="156" w:beforeLines="50"/>
              <w:ind w:right="279" w:rightChars="133"/>
              <w:jc w:val="right"/>
            </w:pPr>
            <w:r>
              <w:rPr>
                <w:rFonts w:hint="eastAsia"/>
                <w:sz w:val="24"/>
              </w:rPr>
              <w:t xml:space="preserve">                                                      年    月    日</w:t>
            </w:r>
          </w:p>
        </w:tc>
      </w:tr>
      <w:tr w14:paraId="7873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4369" w:type="dxa"/>
            <w:tcBorders>
              <w:bottom w:val="single" w:color="auto" w:sz="4" w:space="0"/>
            </w:tcBorders>
          </w:tcPr>
          <w:p w14:paraId="3DA7C373">
            <w:pPr>
              <w:ind w:left="52"/>
              <w:rPr>
                <w:b/>
                <w:bCs/>
                <w:sz w:val="24"/>
              </w:rPr>
            </w:pPr>
            <w:r>
              <w:rPr>
                <w:rFonts w:hint="eastAsia"/>
                <w:b/>
                <w:bCs/>
                <w:sz w:val="24"/>
              </w:rPr>
              <w:t>所在系部审核意见：</w:t>
            </w:r>
          </w:p>
          <w:p w14:paraId="6801EA71">
            <w:pPr>
              <w:ind w:left="52"/>
              <w:rPr>
                <w:sz w:val="24"/>
              </w:rPr>
            </w:pPr>
          </w:p>
          <w:p w14:paraId="2C8BDED2">
            <w:pPr>
              <w:ind w:left="52"/>
              <w:rPr>
                <w:sz w:val="24"/>
              </w:rPr>
            </w:pPr>
          </w:p>
          <w:p w14:paraId="0CEFFC1A">
            <w:pPr>
              <w:ind w:left="52"/>
              <w:rPr>
                <w:sz w:val="24"/>
              </w:rPr>
            </w:pPr>
          </w:p>
          <w:p w14:paraId="6DA734CE">
            <w:pPr>
              <w:adjustRightInd w:val="0"/>
              <w:snapToGrid w:val="0"/>
              <w:spacing w:line="360" w:lineRule="auto"/>
              <w:ind w:right="600"/>
              <w:jc w:val="center"/>
              <w:rPr>
                <w:rFonts w:ascii="宋体" w:hAnsi="宋体"/>
                <w:bCs/>
                <w:sz w:val="24"/>
                <w:u w:val="single"/>
              </w:rPr>
            </w:pPr>
            <w:r>
              <w:rPr>
                <w:rFonts w:hint="eastAsia"/>
                <w:sz w:val="24"/>
              </w:rPr>
              <w:t>系主任签名：</w:t>
            </w:r>
            <w:r>
              <w:rPr>
                <w:rFonts w:hint="eastAsia"/>
                <w:sz w:val="24"/>
                <w:u w:val="single"/>
              </w:rPr>
              <w:t xml:space="preserve"> </w:t>
            </w:r>
            <w:r>
              <w:rPr>
                <w:sz w:val="24"/>
                <w:u w:val="single"/>
              </w:rPr>
              <w:t xml:space="preserve">    </w:t>
            </w:r>
            <w:r>
              <w:rPr>
                <w:rFonts w:hint="eastAsia" w:ascii="宋体" w:hAnsi="宋体"/>
                <w:bCs/>
                <w:sz w:val="24"/>
                <w:u w:val="single"/>
              </w:rPr>
              <w:t xml:space="preserve"> </w:t>
            </w:r>
            <w:r>
              <w:rPr>
                <w:rFonts w:ascii="宋体" w:hAnsi="宋体"/>
                <w:bCs/>
                <w:sz w:val="24"/>
                <w:u w:val="single"/>
              </w:rPr>
              <w:t xml:space="preserve">   </w:t>
            </w:r>
          </w:p>
          <w:p w14:paraId="42A1A7FD">
            <w:pPr>
              <w:spacing w:before="156" w:beforeLines="50"/>
              <w:ind w:right="279" w:rightChars="133"/>
              <w:jc w:val="right"/>
              <w:rPr>
                <w:sz w:val="24"/>
              </w:rPr>
            </w:pP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tc>
        <w:tc>
          <w:tcPr>
            <w:tcW w:w="4369" w:type="dxa"/>
            <w:tcBorders>
              <w:bottom w:val="single" w:color="auto" w:sz="4" w:space="0"/>
            </w:tcBorders>
          </w:tcPr>
          <w:p w14:paraId="4EB67724">
            <w:pPr>
              <w:ind w:left="52"/>
              <w:rPr>
                <w:b/>
                <w:bCs/>
                <w:sz w:val="24"/>
              </w:rPr>
            </w:pPr>
            <w:r>
              <w:rPr>
                <w:rFonts w:hint="eastAsia"/>
                <w:b/>
                <w:bCs/>
                <w:sz w:val="24"/>
              </w:rPr>
              <w:t>学院意见：</w:t>
            </w:r>
          </w:p>
          <w:p w14:paraId="49057EF0">
            <w:pPr>
              <w:ind w:left="52"/>
              <w:rPr>
                <w:sz w:val="24"/>
              </w:rPr>
            </w:pPr>
          </w:p>
          <w:p w14:paraId="72E39560">
            <w:pPr>
              <w:ind w:left="52"/>
              <w:rPr>
                <w:sz w:val="24"/>
              </w:rPr>
            </w:pPr>
          </w:p>
          <w:p w14:paraId="1FE67C10">
            <w:pPr>
              <w:ind w:left="52"/>
              <w:rPr>
                <w:sz w:val="24"/>
              </w:rPr>
            </w:pPr>
          </w:p>
          <w:p w14:paraId="683232C6">
            <w:pPr>
              <w:adjustRightInd w:val="0"/>
              <w:snapToGrid w:val="0"/>
              <w:spacing w:line="360" w:lineRule="auto"/>
              <w:ind w:right="600"/>
              <w:jc w:val="center"/>
              <w:rPr>
                <w:rFonts w:ascii="宋体" w:hAnsi="宋体"/>
                <w:bCs/>
                <w:sz w:val="24"/>
                <w:u w:val="single"/>
              </w:rPr>
            </w:pPr>
            <w:r>
              <w:rPr>
                <w:rFonts w:hint="eastAsia"/>
                <w:sz w:val="24"/>
              </w:rPr>
              <w:t>教学院长签名：</w:t>
            </w:r>
            <w:r>
              <w:rPr>
                <w:rFonts w:hint="eastAsia"/>
                <w:sz w:val="24"/>
                <w:u w:val="single"/>
              </w:rPr>
              <w:t xml:space="preserve"> </w:t>
            </w:r>
            <w:r>
              <w:rPr>
                <w:sz w:val="24"/>
                <w:u w:val="single"/>
              </w:rPr>
              <w:t xml:space="preserve">    </w:t>
            </w:r>
            <w:r>
              <w:rPr>
                <w:rFonts w:hint="eastAsia" w:ascii="宋体" w:hAnsi="宋体"/>
                <w:bCs/>
                <w:sz w:val="24"/>
                <w:u w:val="single"/>
              </w:rPr>
              <w:t xml:space="preserve"> </w:t>
            </w:r>
            <w:r>
              <w:rPr>
                <w:rFonts w:ascii="宋体" w:hAnsi="宋体"/>
                <w:bCs/>
                <w:sz w:val="24"/>
                <w:u w:val="single"/>
              </w:rPr>
              <w:t xml:space="preserve">   </w:t>
            </w:r>
          </w:p>
          <w:p w14:paraId="68D2C246">
            <w:pPr>
              <w:spacing w:before="156" w:beforeLines="50"/>
              <w:ind w:right="279" w:rightChars="133"/>
              <w:jc w:val="right"/>
              <w:rPr>
                <w:sz w:val="24"/>
              </w:rPr>
            </w:pP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tc>
      </w:tr>
    </w:tbl>
    <w:p w14:paraId="11F02A8C">
      <w:pPr>
        <w:adjustRightInd w:val="0"/>
        <w:snapToGrid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297EE"/>
    <w:multiLevelType w:val="singleLevel"/>
    <w:tmpl w:val="8D5297EE"/>
    <w:lvl w:ilvl="0" w:tentative="0">
      <w:start w:val="4"/>
      <w:numFmt w:val="chineseCounting"/>
      <w:suff w:val="nothing"/>
      <w:lvlText w:val="%1、"/>
      <w:lvlJc w:val="left"/>
      <w:rPr>
        <w:rFonts w:hint="eastAsia"/>
      </w:rPr>
    </w:lvl>
  </w:abstractNum>
  <w:abstractNum w:abstractNumId="1">
    <w:nsid w:val="4A3BEB2D"/>
    <w:multiLevelType w:val="singleLevel"/>
    <w:tmpl w:val="4A3BEB2D"/>
    <w:lvl w:ilvl="0" w:tentative="0">
      <w:start w:val="5"/>
      <w:numFmt w:val="chineseCounting"/>
      <w:suff w:val="nothing"/>
      <w:lvlText w:val="%1、"/>
      <w:lvlJc w:val="left"/>
      <w:rPr>
        <w:rFonts w:hint="eastAsia"/>
      </w:rPr>
    </w:lvl>
  </w:abstractNum>
  <w:abstractNum w:abstractNumId="2">
    <w:nsid w:val="5A07C825"/>
    <w:multiLevelType w:val="singleLevel"/>
    <w:tmpl w:val="5A07C825"/>
    <w:lvl w:ilvl="0" w:tentative="0">
      <w:start w:val="1"/>
      <w:numFmt w:val="chineseCounting"/>
      <w:suff w:val="nothing"/>
      <w:lvlText w:val="%1、"/>
      <w:lvlJc w:val="left"/>
      <w:rPr>
        <w:rFonts w:hint="eastAsia"/>
      </w:rPr>
    </w:lvl>
  </w:abstractNum>
  <w:abstractNum w:abstractNumId="3">
    <w:nsid w:val="6EC11A97"/>
    <w:multiLevelType w:val="singleLevel"/>
    <w:tmpl w:val="6EC11A97"/>
    <w:lvl w:ilvl="0" w:tentative="0">
      <w:start w:val="1"/>
      <w:numFmt w:val="chineseCounting"/>
      <w:suff w:val="nothing"/>
      <w:lvlText w:val="（%1）"/>
      <w:lvlJc w:val="left"/>
      <w:pPr>
        <w:ind w:left="0" w:firstLine="420"/>
      </w:pPr>
      <w:rPr>
        <w:rFonts w:hint="eastAsi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E0"/>
    <w:rsid w:val="00393A58"/>
    <w:rsid w:val="00662F40"/>
    <w:rsid w:val="007717B6"/>
    <w:rsid w:val="00BC0BE0"/>
    <w:rsid w:val="00BE29D8"/>
    <w:rsid w:val="012F3917"/>
    <w:rsid w:val="0F5C39F7"/>
    <w:rsid w:val="17076D19"/>
    <w:rsid w:val="2AA5295B"/>
    <w:rsid w:val="329B59D1"/>
    <w:rsid w:val="32D456B8"/>
    <w:rsid w:val="4825228F"/>
    <w:rsid w:val="518A6B96"/>
    <w:rsid w:val="56372B88"/>
    <w:rsid w:val="6CDF5881"/>
    <w:rsid w:val="71A76A11"/>
    <w:rsid w:val="7611524B"/>
    <w:rsid w:val="774D63F6"/>
    <w:rsid w:val="78D01CD0"/>
    <w:rsid w:val="7D930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0"/>
    <w:pPr>
      <w:jc w:val="left"/>
    </w:pPr>
  </w:style>
  <w:style w:type="paragraph" w:styleId="6">
    <w:name w:val="Body Text Indent"/>
    <w:basedOn w:val="1"/>
    <w:link w:val="20"/>
    <w:qFormat/>
    <w:uiPriority w:val="0"/>
    <w:pPr>
      <w:spacing w:line="360" w:lineRule="exact"/>
      <w:ind w:left="538" w:hanging="538" w:hangingChars="192"/>
    </w:pPr>
    <w:rPr>
      <w:sz w:val="28"/>
    </w:rPr>
  </w:style>
  <w:style w:type="paragraph" w:styleId="7">
    <w:name w:val="Balloon Text"/>
    <w:basedOn w:val="1"/>
    <w:link w:val="23"/>
    <w:qFormat/>
    <w:uiPriority w:val="0"/>
    <w:rPr>
      <w:sz w:val="18"/>
      <w:szCs w:val="18"/>
    </w:rPr>
  </w:style>
  <w:style w:type="paragraph" w:styleId="8">
    <w:name w:val="footer"/>
    <w:basedOn w:val="1"/>
    <w:link w:val="19"/>
    <w:qFormat/>
    <w:uiPriority w:val="99"/>
    <w:pPr>
      <w:tabs>
        <w:tab w:val="center" w:pos="4153"/>
        <w:tab w:val="right" w:pos="8306"/>
      </w:tabs>
      <w:snapToGrid w:val="0"/>
      <w:jc w:val="left"/>
    </w:pPr>
    <w:rPr>
      <w:rFonts w:ascii="等线" w:hAnsi="等线" w:eastAsia="等线" w:cs="宋体"/>
      <w:sz w:val="18"/>
      <w:szCs w:val="18"/>
    </w:rPr>
  </w:style>
  <w:style w:type="paragraph" w:styleId="9">
    <w:name w:val="header"/>
    <w:basedOn w:val="1"/>
    <w:link w:val="18"/>
    <w:qFormat/>
    <w:uiPriority w:val="99"/>
    <w:pPr>
      <w:pBdr>
        <w:bottom w:val="single" w:color="auto" w:sz="6" w:space="1"/>
      </w:pBdr>
      <w:tabs>
        <w:tab w:val="center" w:pos="4153"/>
        <w:tab w:val="right" w:pos="8306"/>
      </w:tabs>
      <w:snapToGrid w:val="0"/>
      <w:jc w:val="center"/>
    </w:pPr>
    <w:rPr>
      <w:rFonts w:ascii="等线" w:hAnsi="等线" w:eastAsia="等线" w:cs="宋体"/>
      <w:sz w:val="18"/>
      <w:szCs w:val="18"/>
    </w:rPr>
  </w:style>
  <w:style w:type="paragraph" w:styleId="10">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1">
    <w:name w:val="annotation subject"/>
    <w:basedOn w:val="5"/>
    <w:next w:val="5"/>
    <w:link w:val="22"/>
    <w:qFormat/>
    <w:uiPriority w:val="0"/>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annotation reference"/>
    <w:basedOn w:val="14"/>
    <w:qFormat/>
    <w:uiPriority w:val="0"/>
    <w:rPr>
      <w:sz w:val="21"/>
      <w:szCs w:val="21"/>
    </w:rPr>
  </w:style>
  <w:style w:type="character" w:customStyle="1" w:styleId="18">
    <w:name w:val="页眉 字符"/>
    <w:basedOn w:val="14"/>
    <w:link w:val="9"/>
    <w:qFormat/>
    <w:uiPriority w:val="99"/>
    <w:rPr>
      <w:sz w:val="18"/>
      <w:szCs w:val="18"/>
    </w:rPr>
  </w:style>
  <w:style w:type="character" w:customStyle="1" w:styleId="19">
    <w:name w:val="页脚 字符"/>
    <w:basedOn w:val="14"/>
    <w:link w:val="8"/>
    <w:qFormat/>
    <w:uiPriority w:val="99"/>
    <w:rPr>
      <w:sz w:val="18"/>
      <w:szCs w:val="18"/>
    </w:rPr>
  </w:style>
  <w:style w:type="character" w:customStyle="1" w:styleId="20">
    <w:name w:val="正文文本缩进 字符"/>
    <w:basedOn w:val="14"/>
    <w:link w:val="6"/>
    <w:qFormat/>
    <w:uiPriority w:val="0"/>
    <w:rPr>
      <w:rFonts w:ascii="Times New Roman" w:hAnsi="Times New Roman" w:eastAsia="宋体" w:cs="Times New Roman"/>
      <w:sz w:val="28"/>
      <w:szCs w:val="24"/>
    </w:rPr>
  </w:style>
  <w:style w:type="character" w:customStyle="1" w:styleId="21">
    <w:name w:val="批注文字 字符"/>
    <w:basedOn w:val="14"/>
    <w:link w:val="5"/>
    <w:qFormat/>
    <w:uiPriority w:val="0"/>
    <w:rPr>
      <w:kern w:val="2"/>
      <w:sz w:val="21"/>
      <w:szCs w:val="24"/>
    </w:rPr>
  </w:style>
  <w:style w:type="character" w:customStyle="1" w:styleId="22">
    <w:name w:val="批注主题 字符"/>
    <w:basedOn w:val="21"/>
    <w:link w:val="11"/>
    <w:qFormat/>
    <w:uiPriority w:val="0"/>
    <w:rPr>
      <w:b/>
      <w:bCs/>
      <w:kern w:val="2"/>
      <w:sz w:val="21"/>
      <w:szCs w:val="24"/>
    </w:rPr>
  </w:style>
  <w:style w:type="character" w:customStyle="1" w:styleId="23">
    <w:name w:val="批注框文本 字符"/>
    <w:basedOn w:val="14"/>
    <w:link w:val="7"/>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2AAB1-9FC8-4457-B866-4441BE1889C3}">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5068</Words>
  <Characters>5513</Characters>
  <Lines>1</Lines>
  <Paragraphs>1</Paragraphs>
  <TotalTime>1</TotalTime>
  <ScaleCrop>false</ScaleCrop>
  <LinksUpToDate>false</LinksUpToDate>
  <CharactersWithSpaces>5855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2021-09-25T09:39:00Z</dcterms:created>
  <dc:creator>磊</dc:creator>
  <cp:lastModifiedBy>王佳齐</cp:lastModifiedBy>
  <dcterms:modified xsi:type="dcterms:W3CDTF">2025-12-30T03:05:14Z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5ac77e33a2b64dcdb0cbfdd73bb73cba_23</vt:lpwstr>
  </property>
  <property fmtid="{D5CDD505-2E9C-101B-9397-08002B2CF9AE}" pid="3" name="KSOTemplateDocerSaveRecord">
    <vt:lpwstr>eyJoZGlkIjoiMzBkNjJjMTg2Yjc0N2QyNjgyNmM0MDY3YmM1N2MzNTgiLCJ1c2VySWQiOiIxNzc2MjM2OTY0In0=</vt:lpwstr>
  </property>
  <property fmtid="{D5CDD505-2E9C-101B-9397-08002B2CF9AE}" pid="4" name="KSOProductBuildVer">
    <vt:lpwstr>2052-12.1.0.21915</vt:lpwstr>
  </property>
</Properties>
</file>