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D9CAB">
      <w:pPr>
        <w:spacing w:line="520" w:lineRule="exact"/>
        <w:rPr>
          <w:rFonts w:ascii="黑体" w:eastAsia="黑体"/>
          <w:bCs/>
          <w:kern w:val="0"/>
          <w:sz w:val="48"/>
          <w:szCs w:val="48"/>
        </w:rPr>
      </w:pPr>
      <w:r>
        <w:rPr>
          <w:rFonts w:ascii="黑体" w:eastAsia="黑体"/>
          <w:sz w:val="44"/>
          <w:szCs w:val="4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243840</wp:posOffset>
            </wp:positionV>
            <wp:extent cx="3629025" cy="554355"/>
            <wp:effectExtent l="0" t="0" r="0" b="0"/>
            <wp:wrapTopAndBottom/>
            <wp:docPr id="1026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2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554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eastAsia="黑体"/>
          <w:bCs/>
          <w:kern w:val="0"/>
          <w:sz w:val="48"/>
          <w:szCs w:val="48"/>
        </w:rPr>
        <w:t xml:space="preserve">       </w:t>
      </w:r>
    </w:p>
    <w:p w14:paraId="65500BA9">
      <w:pPr>
        <w:jc w:val="center"/>
        <w:rPr>
          <w:rFonts w:ascii="黑体" w:eastAsia="黑体"/>
          <w:bCs/>
          <w:kern w:val="0"/>
          <w:sz w:val="52"/>
          <w:szCs w:val="52"/>
        </w:rPr>
      </w:pPr>
      <w:r>
        <w:rPr>
          <w:rFonts w:hint="eastAsia" w:ascii="黑体" w:eastAsia="黑体"/>
          <w:bCs/>
          <w:kern w:val="0"/>
          <w:sz w:val="52"/>
          <w:szCs w:val="52"/>
        </w:rPr>
        <w:t>毕业设计（论文）任务书</w:t>
      </w:r>
    </w:p>
    <w:tbl>
      <w:tblPr>
        <w:tblStyle w:val="12"/>
        <w:tblW w:w="835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6096"/>
      </w:tblGrid>
      <w:tr w14:paraId="3A863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1" w:hRule="atLeast"/>
          <w:jc w:val="center"/>
        </w:trPr>
        <w:tc>
          <w:tcPr>
            <w:tcW w:w="2263" w:type="dxa"/>
            <w:vAlign w:val="center"/>
          </w:tcPr>
          <w:p w14:paraId="4ADC2D6F">
            <w:pPr>
              <w:jc w:val="center"/>
              <w:rPr>
                <w:rFonts w:ascii="黑体" w:hAnsi="黑体" w:eastAsia="黑体"/>
                <w:sz w:val="44"/>
                <w:szCs w:val="44"/>
                <w:u w:val="single"/>
              </w:rPr>
            </w:pPr>
            <w:r>
              <w:rPr>
                <w:rFonts w:hint="eastAsia" w:ascii="黑体" w:hAnsi="黑体" w:eastAsia="黑体"/>
                <w:sz w:val="44"/>
                <w:szCs w:val="44"/>
              </w:rPr>
              <w:t>题   目</w:t>
            </w:r>
          </w:p>
        </w:tc>
        <w:tc>
          <w:tcPr>
            <w:tcW w:w="6096" w:type="dxa"/>
            <w:vAlign w:val="center"/>
          </w:tcPr>
          <w:p w14:paraId="7BC7C965">
            <w:pPr>
              <w:jc w:val="center"/>
              <w:rPr>
                <w:rFonts w:ascii="黑体" w:hAnsi="黑体" w:eastAsia="黑体"/>
                <w:sz w:val="44"/>
                <w:szCs w:val="44"/>
                <w:u w:val="single"/>
              </w:rPr>
            </w:pPr>
            <w:r>
              <w:rPr>
                <w:rFonts w:hint="eastAsia" w:ascii="黑体" w:hAnsi="黑体" w:eastAsia="黑体"/>
                <w:sz w:val="44"/>
                <w:szCs w:val="44"/>
                <w:u w:val="single"/>
              </w:rPr>
              <w:t>AI赋能的高校教务系统</w:t>
            </w:r>
          </w:p>
        </w:tc>
      </w:tr>
    </w:tbl>
    <w:p w14:paraId="4941FC17"/>
    <w:tbl>
      <w:tblPr>
        <w:tblStyle w:val="11"/>
        <w:tblW w:w="807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374"/>
      </w:tblGrid>
      <w:tr w14:paraId="5F086C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0E576">
            <w:pPr>
              <w:wordWrap w:val="0"/>
              <w:ind w:left="-60"/>
              <w:jc w:val="right"/>
              <w:rPr>
                <w:rFonts w:ascii="黑体" w:hAnsi="黑体" w:eastAsia="黑体"/>
                <w:sz w:val="30"/>
                <w:szCs w:val="30"/>
              </w:rPr>
            </w:pPr>
            <w:r>
              <w:rPr>
                <w:rFonts w:hint="eastAsia" w:ascii="黑体" w:hAnsi="黑体" w:eastAsia="黑体"/>
                <w:sz w:val="30"/>
                <w:szCs w:val="30"/>
              </w:rPr>
              <w:t>学生姓名：</w:t>
            </w:r>
          </w:p>
        </w:tc>
        <w:tc>
          <w:tcPr>
            <w:tcW w:w="637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D1F90F3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王佳齐</w:t>
            </w:r>
          </w:p>
        </w:tc>
      </w:tr>
      <w:tr w14:paraId="1E4915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41F877">
            <w:pPr>
              <w:wordWrap w:val="0"/>
              <w:ind w:left="-60"/>
              <w:jc w:val="right"/>
              <w:rPr>
                <w:rFonts w:ascii="黑体" w:hAnsi="黑体" w:eastAsia="黑体"/>
                <w:sz w:val="30"/>
                <w:szCs w:val="30"/>
              </w:rPr>
            </w:pPr>
            <w:r>
              <w:rPr>
                <w:rFonts w:hint="eastAsia" w:ascii="黑体" w:hAnsi="黑体" w:eastAsia="黑体"/>
                <w:sz w:val="30"/>
                <w:szCs w:val="30"/>
              </w:rPr>
              <w:t>学    号：</w:t>
            </w:r>
          </w:p>
        </w:tc>
        <w:tc>
          <w:tcPr>
            <w:tcW w:w="637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AE5D5D5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2405273202</w:t>
            </w:r>
          </w:p>
        </w:tc>
      </w:tr>
      <w:tr w14:paraId="5E09CE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3A077">
            <w:pPr>
              <w:ind w:left="-60"/>
              <w:jc w:val="right"/>
              <w:rPr>
                <w:rFonts w:ascii="黑体" w:hAnsi="黑体" w:eastAsia="黑体"/>
                <w:sz w:val="30"/>
                <w:szCs w:val="30"/>
              </w:rPr>
            </w:pPr>
            <w:r>
              <w:rPr>
                <w:rFonts w:hint="eastAsia" w:ascii="黑体" w:hAnsi="黑体" w:eastAsia="黑体"/>
                <w:sz w:val="30"/>
                <w:szCs w:val="30"/>
              </w:rPr>
              <w:t>学    院：</w:t>
            </w:r>
          </w:p>
        </w:tc>
        <w:tc>
          <w:tcPr>
            <w:tcW w:w="6374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75BFE6E5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计算机与软件学院</w:t>
            </w:r>
          </w:p>
        </w:tc>
      </w:tr>
      <w:tr w14:paraId="36DADB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36D52F">
            <w:pPr>
              <w:ind w:left="-60"/>
              <w:jc w:val="right"/>
              <w:rPr>
                <w:rFonts w:ascii="黑体" w:hAnsi="黑体" w:eastAsia="黑体"/>
                <w:bCs/>
                <w:sz w:val="30"/>
                <w:szCs w:val="30"/>
              </w:rPr>
            </w:pPr>
            <w:r>
              <w:rPr>
                <w:rFonts w:hint="eastAsia" w:ascii="黑体" w:hAnsi="黑体" w:eastAsia="黑体"/>
                <w:bCs/>
                <w:sz w:val="30"/>
                <w:szCs w:val="30"/>
              </w:rPr>
              <w:t>专    业</w:t>
            </w:r>
            <w:r>
              <w:rPr>
                <w:rFonts w:hint="eastAsia" w:ascii="黑体" w:hAnsi="黑体" w:eastAsia="黑体"/>
                <w:sz w:val="30"/>
                <w:szCs w:val="30"/>
              </w:rPr>
              <w:t>：</w:t>
            </w:r>
          </w:p>
        </w:tc>
        <w:tc>
          <w:tcPr>
            <w:tcW w:w="6374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079D4132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工业互联网技术</w:t>
            </w:r>
          </w:p>
        </w:tc>
      </w:tr>
      <w:tr w14:paraId="1F8688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30247E">
            <w:pPr>
              <w:ind w:left="-60"/>
              <w:jc w:val="right"/>
              <w:rPr>
                <w:rFonts w:ascii="黑体" w:hAnsi="黑体" w:eastAsia="黑体"/>
                <w:bCs/>
                <w:sz w:val="30"/>
                <w:szCs w:val="30"/>
              </w:rPr>
            </w:pPr>
            <w:r>
              <w:rPr>
                <w:rFonts w:hint="eastAsia" w:ascii="黑体" w:hAnsi="黑体" w:eastAsia="黑体"/>
                <w:bCs/>
                <w:sz w:val="30"/>
                <w:szCs w:val="30"/>
              </w:rPr>
              <w:t>班    级：</w:t>
            </w:r>
          </w:p>
        </w:tc>
        <w:tc>
          <w:tcPr>
            <w:tcW w:w="6374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22F4AC66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互联2432</w:t>
            </w:r>
          </w:p>
        </w:tc>
      </w:tr>
      <w:tr w14:paraId="788E91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F0F89">
            <w:pPr>
              <w:ind w:left="-60"/>
              <w:jc w:val="right"/>
              <w:rPr>
                <w:rFonts w:ascii="黑体" w:hAnsi="黑体" w:eastAsia="黑体"/>
                <w:bCs/>
                <w:sz w:val="30"/>
                <w:szCs w:val="30"/>
              </w:rPr>
            </w:pPr>
            <w:r>
              <w:rPr>
                <w:rFonts w:hint="eastAsia" w:ascii="黑体" w:hAnsi="黑体" w:eastAsia="黑体"/>
                <w:bCs/>
                <w:sz w:val="30"/>
                <w:szCs w:val="30"/>
              </w:rPr>
              <w:t>指导教师：</w:t>
            </w:r>
          </w:p>
        </w:tc>
        <w:tc>
          <w:tcPr>
            <w:tcW w:w="6374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3373B25E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张锦辉</w:t>
            </w:r>
          </w:p>
        </w:tc>
      </w:tr>
      <w:tr w14:paraId="68CF2E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6E9F54">
            <w:pPr>
              <w:ind w:left="-60"/>
              <w:jc w:val="right"/>
              <w:rPr>
                <w:rFonts w:ascii="黑体" w:hAnsi="黑体" w:eastAsia="黑体"/>
                <w:bCs/>
                <w:sz w:val="30"/>
                <w:szCs w:val="30"/>
              </w:rPr>
            </w:pPr>
            <w:r>
              <w:rPr>
                <w:rFonts w:hint="eastAsia" w:ascii="黑体" w:hAnsi="黑体" w:eastAsia="黑体"/>
                <w:bCs/>
                <w:sz w:val="30"/>
                <w:szCs w:val="30"/>
              </w:rPr>
              <w:t>企业导师：</w:t>
            </w:r>
          </w:p>
        </w:tc>
        <w:tc>
          <w:tcPr>
            <w:tcW w:w="6374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7EE315FB">
            <w:pPr>
              <w:jc w:val="center"/>
              <w:rPr>
                <w:rFonts w:ascii="黑体" w:hAnsi="黑体" w:eastAsia="黑体"/>
                <w:bCs/>
                <w:sz w:val="32"/>
              </w:rPr>
            </w:pPr>
            <w:r>
              <w:rPr>
                <w:rFonts w:hint="eastAsia" w:ascii="黑体" w:hAnsi="黑体" w:eastAsia="黑体"/>
                <w:bCs/>
                <w:sz w:val="32"/>
              </w:rPr>
              <w:t>嵇伟</w:t>
            </w:r>
          </w:p>
        </w:tc>
      </w:tr>
      <w:tr w14:paraId="789DE4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4E955">
            <w:pPr>
              <w:ind w:left="-60"/>
              <w:jc w:val="right"/>
              <w:rPr>
                <w:rFonts w:ascii="黑体" w:hAnsi="黑体" w:eastAsia="黑体"/>
                <w:bCs/>
                <w:sz w:val="30"/>
                <w:szCs w:val="30"/>
              </w:rPr>
            </w:pPr>
            <w:r>
              <w:rPr>
                <w:rFonts w:hint="eastAsia" w:ascii="黑体" w:hAnsi="黑体" w:eastAsia="黑体"/>
                <w:bCs/>
                <w:sz w:val="30"/>
                <w:szCs w:val="30"/>
              </w:rPr>
              <w:t>起止日期：</w:t>
            </w:r>
          </w:p>
        </w:tc>
        <w:tc>
          <w:tcPr>
            <w:tcW w:w="6374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5BE844A2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bCs/>
                <w:sz w:val="32"/>
              </w:rPr>
              <w:t>2025年11月1日</w:t>
            </w:r>
            <w:r>
              <w:rPr>
                <w:rFonts w:ascii="黑体" w:hAnsi="黑体" w:eastAsia="黑体"/>
                <w:bCs/>
                <w:sz w:val="32"/>
              </w:rPr>
              <w:t>—20</w:t>
            </w:r>
            <w:r>
              <w:rPr>
                <w:rFonts w:hint="eastAsia" w:ascii="黑体" w:hAnsi="黑体" w:eastAsia="黑体"/>
                <w:bCs/>
                <w:sz w:val="32"/>
              </w:rPr>
              <w:t>26年5月27日</w:t>
            </w:r>
          </w:p>
        </w:tc>
      </w:tr>
      <w:tr w14:paraId="4E0C42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  <w:jc w:val="center"/>
        </w:trPr>
        <w:tc>
          <w:tcPr>
            <w:tcW w:w="80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4B4112">
            <w:pPr>
              <w:ind w:left="-60"/>
              <w:jc w:val="center"/>
              <w:rPr>
                <w:rFonts w:ascii="黑体" w:hAnsi="黑体" w:eastAsia="黑体"/>
                <w:bCs/>
                <w:sz w:val="32"/>
              </w:rPr>
            </w:pPr>
            <w:r>
              <w:rPr>
                <w:rFonts w:hint="eastAsia" w:ascii="黑体" w:hAnsi="黑体" w:eastAsia="黑体"/>
                <w:bCs/>
                <w:sz w:val="32"/>
              </w:rPr>
              <w:t xml:space="preserve">发任务书日期：  </w:t>
            </w:r>
            <w:r>
              <w:rPr>
                <w:rFonts w:ascii="黑体" w:hAnsi="黑体" w:eastAsia="黑体"/>
                <w:bCs/>
                <w:sz w:val="32"/>
              </w:rPr>
              <w:t>20</w:t>
            </w:r>
            <w:r>
              <w:rPr>
                <w:rFonts w:hint="eastAsia" w:ascii="黑体" w:hAnsi="黑体" w:eastAsia="黑体"/>
                <w:bCs/>
                <w:sz w:val="32"/>
              </w:rPr>
              <w:t>25年11月1日</w:t>
            </w:r>
          </w:p>
        </w:tc>
      </w:tr>
    </w:tbl>
    <w:p w14:paraId="475694F9">
      <w:pPr>
        <w:pStyle w:val="5"/>
        <w:spacing w:line="240" w:lineRule="auto"/>
        <w:ind w:left="794" w:right="523" w:rightChars="218" w:firstLine="0" w:firstLineChars="0"/>
        <w:jc w:val="center"/>
        <w:rPr>
          <w:rFonts w:ascii="宋体" w:hAnsi="宋体"/>
          <w:b/>
          <w:bCs/>
          <w:sz w:val="32"/>
          <w:szCs w:val="32"/>
        </w:rPr>
      </w:pPr>
    </w:p>
    <w:p w14:paraId="5F9DFABC">
      <w:pPr>
        <w:pStyle w:val="5"/>
        <w:spacing w:line="240" w:lineRule="auto"/>
        <w:ind w:left="794" w:right="523" w:rightChars="218" w:firstLine="0" w:firstLineChars="0"/>
        <w:jc w:val="center"/>
        <w:rPr>
          <w:rFonts w:ascii="宋体" w:hAnsi="宋体"/>
          <w:b/>
          <w:bCs/>
          <w:sz w:val="32"/>
          <w:szCs w:val="32"/>
        </w:rPr>
      </w:pPr>
    </w:p>
    <w:p w14:paraId="4AA8D5D0">
      <w:pPr>
        <w:pStyle w:val="5"/>
        <w:spacing w:line="240" w:lineRule="auto"/>
        <w:ind w:left="794" w:right="523" w:rightChars="218" w:firstLine="0" w:firstLineChars="0"/>
        <w:jc w:val="center"/>
        <w:rPr>
          <w:rFonts w:ascii="宋体" w:hAnsi="宋体"/>
          <w:b/>
          <w:bCs/>
          <w:sz w:val="32"/>
          <w:szCs w:val="32"/>
        </w:rPr>
      </w:pPr>
    </w:p>
    <w:p w14:paraId="4A1F6C65">
      <w:pPr>
        <w:pStyle w:val="5"/>
        <w:spacing w:line="240" w:lineRule="auto"/>
        <w:ind w:left="794" w:right="523" w:rightChars="218" w:firstLine="0" w:firstLineChars="0"/>
        <w:jc w:val="center"/>
        <w:rPr>
          <w:rFonts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bCs/>
          <w:sz w:val="32"/>
          <w:szCs w:val="32"/>
        </w:rPr>
        <w:t>任务书填写要求</w:t>
      </w:r>
    </w:p>
    <w:p w14:paraId="328E44BF">
      <w:pPr>
        <w:pStyle w:val="5"/>
        <w:spacing w:line="240" w:lineRule="auto"/>
        <w:ind w:left="794" w:right="523" w:rightChars="218" w:firstLine="570" w:firstLineChars="0"/>
        <w:rPr>
          <w:rFonts w:ascii="宋体" w:hAnsi="宋体"/>
          <w:sz w:val="24"/>
        </w:rPr>
      </w:pPr>
    </w:p>
    <w:p w14:paraId="16F01600">
      <w:pPr>
        <w:pStyle w:val="5"/>
        <w:spacing w:line="360" w:lineRule="auto"/>
        <w:ind w:left="0" w:firstLine="573" w:firstLineChars="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1</w:t>
      </w:r>
      <w:r>
        <w:rPr>
          <w:rFonts w:hint="eastAsia" w:ascii="宋体" w:hAnsi="宋体"/>
          <w:sz w:val="24"/>
        </w:rPr>
        <w:t>．指导教师应在毕业设计（论文）开始前一周内填好此任务书，并发给学生。</w:t>
      </w:r>
      <w:r>
        <w:rPr>
          <w:rFonts w:ascii="宋体" w:hAnsi="宋体"/>
          <w:sz w:val="24"/>
        </w:rPr>
        <w:t>任务书内填写的内容，</w:t>
      </w:r>
      <w:r>
        <w:rPr>
          <w:rFonts w:hint="eastAsia" w:ascii="宋体" w:hAnsi="宋体"/>
          <w:sz w:val="24"/>
        </w:rPr>
        <w:t>必须</w:t>
      </w:r>
      <w:r>
        <w:rPr>
          <w:rFonts w:ascii="宋体" w:hAnsi="宋体"/>
          <w:sz w:val="24"/>
        </w:rPr>
        <w:t>和学生毕业设计（论文）完成的情况相一致，若有变更，应经所在专业及学院主管领导审批后方可修改</w:t>
      </w:r>
      <w:r>
        <w:rPr>
          <w:rFonts w:hint="eastAsia" w:ascii="宋体" w:hAnsi="宋体"/>
          <w:sz w:val="24"/>
        </w:rPr>
        <w:t>。</w:t>
      </w:r>
    </w:p>
    <w:p w14:paraId="1388C3D6">
      <w:pPr>
        <w:pStyle w:val="5"/>
        <w:spacing w:line="360" w:lineRule="auto"/>
        <w:ind w:left="0" w:firstLine="573" w:firstLineChars="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2</w:t>
      </w:r>
      <w:r>
        <w:rPr>
          <w:rFonts w:hint="eastAsia" w:ascii="宋体" w:hAnsi="宋体"/>
          <w:sz w:val="24"/>
        </w:rPr>
        <w:t>．任务书内容要求正文用小四号宋体，</w:t>
      </w:r>
      <w:r>
        <w:rPr>
          <w:sz w:val="24"/>
        </w:rPr>
        <w:t>1.5</w:t>
      </w:r>
      <w:r>
        <w:rPr>
          <w:rFonts w:hint="eastAsia" w:ascii="宋体" w:hAnsi="宋体"/>
          <w:sz w:val="24"/>
        </w:rPr>
        <w:t>倍行距。</w:t>
      </w:r>
    </w:p>
    <w:p w14:paraId="00CDA750">
      <w:pPr>
        <w:pStyle w:val="5"/>
        <w:spacing w:line="360" w:lineRule="auto"/>
        <w:ind w:left="0" w:firstLine="573" w:firstLineChars="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3</w:t>
      </w:r>
      <w:r>
        <w:rPr>
          <w:rFonts w:hint="eastAsia" w:ascii="宋体" w:hAnsi="宋体"/>
          <w:sz w:val="24"/>
        </w:rPr>
        <w:t>．任务书内有关“学院”、“专业”等名称的填写，应写中文全称，不能写数字代码。学生的“学号”要写全。</w:t>
      </w:r>
    </w:p>
    <w:p w14:paraId="6C984EDF">
      <w:pPr>
        <w:pStyle w:val="5"/>
        <w:spacing w:line="360" w:lineRule="auto"/>
        <w:ind w:left="0" w:firstLine="573" w:firstLineChars="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4</w:t>
      </w:r>
      <w:r>
        <w:rPr>
          <w:rFonts w:hint="eastAsia" w:ascii="宋体" w:hAnsi="宋体"/>
          <w:sz w:val="24"/>
        </w:rPr>
        <w:t>．任务书内“主要参考文献”的填写，应按照《南京工业职业技术大学本科毕业设计（论文）撰写规范》的要求书写。</w:t>
      </w:r>
    </w:p>
    <w:p w14:paraId="2A16C4AA">
      <w:pPr>
        <w:pStyle w:val="5"/>
        <w:spacing w:line="360" w:lineRule="auto"/>
        <w:ind w:left="0" w:firstLine="573"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5．有关年月日等日期的填写，应当按照国标</w:t>
      </w:r>
      <w:r>
        <w:rPr>
          <w:sz w:val="24"/>
        </w:rPr>
        <w:t>GBT 7408—2005</w:t>
      </w:r>
      <w:r>
        <w:rPr>
          <w:rFonts w:hint="eastAsia" w:ascii="宋体" w:hAnsi="宋体"/>
          <w:sz w:val="24"/>
        </w:rPr>
        <w:t>《数据元和交换格式、信息交换、日期和时间表示法》规定的要求，一律用阿拉伯数字书写。如“</w:t>
      </w:r>
      <w:r>
        <w:rPr>
          <w:sz w:val="24"/>
        </w:rPr>
        <w:t>2022</w:t>
      </w:r>
      <w:r>
        <w:rPr>
          <w:rFonts w:hint="eastAsia" w:ascii="宋体" w:hAnsi="宋体"/>
          <w:sz w:val="24"/>
        </w:rPr>
        <w:t>年</w:t>
      </w:r>
      <w:r>
        <w:rPr>
          <w:sz w:val="24"/>
        </w:rPr>
        <w:t>4</w:t>
      </w:r>
      <w:r>
        <w:rPr>
          <w:rFonts w:hint="eastAsia" w:ascii="宋体" w:hAnsi="宋体"/>
          <w:sz w:val="24"/>
        </w:rPr>
        <w:t>月2日”或“</w:t>
      </w:r>
      <w:r>
        <w:rPr>
          <w:sz w:val="24"/>
        </w:rPr>
        <w:t>2022-04-02</w:t>
      </w:r>
      <w:r>
        <w:rPr>
          <w:rFonts w:hint="eastAsia" w:ascii="宋体" w:hAnsi="宋体"/>
          <w:sz w:val="24"/>
        </w:rPr>
        <w:t>”。</w:t>
      </w:r>
    </w:p>
    <w:p w14:paraId="46837251">
      <w:pPr>
        <w:pStyle w:val="5"/>
        <w:spacing w:line="360" w:lineRule="auto"/>
        <w:ind w:left="0" w:firstLine="573" w:firstLineChars="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6</w:t>
      </w:r>
      <w:r>
        <w:rPr>
          <w:rFonts w:hint="eastAsia" w:ascii="宋体" w:hAnsi="宋体"/>
          <w:sz w:val="24"/>
        </w:rPr>
        <w:t>．参考文献按照国标</w:t>
      </w:r>
      <w:r>
        <w:rPr>
          <w:sz w:val="24"/>
        </w:rPr>
        <w:t>GBT 7714—2015</w:t>
      </w:r>
      <w:r>
        <w:rPr>
          <w:rFonts w:hint="eastAsia" w:ascii="宋体" w:hAnsi="宋体"/>
          <w:sz w:val="24"/>
        </w:rPr>
        <w:t>《信息与文献参考文献著录规则》书写。</w:t>
      </w:r>
    </w:p>
    <w:p w14:paraId="3BC56EFC">
      <w:pPr>
        <w:rPr>
          <w:sz w:val="28"/>
          <w:szCs w:val="28"/>
        </w:rPr>
      </w:pPr>
    </w:p>
    <w:p w14:paraId="203F800F">
      <w:pPr>
        <w:rPr>
          <w:sz w:val="28"/>
          <w:szCs w:val="28"/>
        </w:rPr>
      </w:pPr>
    </w:p>
    <w:p w14:paraId="3F207001">
      <w:pPr>
        <w:rPr>
          <w:sz w:val="28"/>
          <w:szCs w:val="28"/>
        </w:rPr>
      </w:pPr>
    </w:p>
    <w:p w14:paraId="5A75A4D0">
      <w:pPr>
        <w:rPr>
          <w:sz w:val="28"/>
          <w:szCs w:val="28"/>
        </w:rPr>
      </w:pPr>
    </w:p>
    <w:p w14:paraId="6E40A038">
      <w:pPr>
        <w:rPr>
          <w:sz w:val="28"/>
          <w:szCs w:val="28"/>
        </w:rPr>
      </w:pPr>
    </w:p>
    <w:p w14:paraId="404F6A52">
      <w:pPr>
        <w:rPr>
          <w:sz w:val="28"/>
          <w:szCs w:val="28"/>
        </w:rPr>
      </w:pPr>
    </w:p>
    <w:p w14:paraId="41AEADDF">
      <w:pPr>
        <w:rPr>
          <w:sz w:val="30"/>
          <w:szCs w:val="30"/>
        </w:rPr>
      </w:pPr>
    </w:p>
    <w:p w14:paraId="655114EF">
      <w:pPr>
        <w:rPr>
          <w:sz w:val="30"/>
          <w:szCs w:val="30"/>
        </w:rPr>
      </w:pPr>
    </w:p>
    <w:p w14:paraId="729CF541">
      <w:pPr>
        <w:rPr>
          <w:sz w:val="30"/>
          <w:szCs w:val="30"/>
        </w:rPr>
      </w:pPr>
    </w:p>
    <w:p w14:paraId="0A79B60D">
      <w:pPr>
        <w:rPr>
          <w:sz w:val="30"/>
          <w:szCs w:val="30"/>
        </w:rPr>
      </w:pPr>
    </w:p>
    <w:tbl>
      <w:tblPr>
        <w:tblStyle w:val="11"/>
        <w:tblW w:w="8738" w:type="dxa"/>
        <w:tblInd w:w="-5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7"/>
        <w:gridCol w:w="426"/>
        <w:gridCol w:w="1056"/>
        <w:gridCol w:w="4369"/>
      </w:tblGrid>
      <w:tr w14:paraId="14906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3313" w:type="dxa"/>
            <w:gridSpan w:val="2"/>
            <w:tcBorders>
              <w:bottom w:val="single" w:color="auto" w:sz="4" w:space="0"/>
            </w:tcBorders>
            <w:vAlign w:val="center"/>
          </w:tcPr>
          <w:p w14:paraId="7A49D8E0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毕业设计（论文）类型</w:t>
            </w:r>
          </w:p>
        </w:tc>
        <w:tc>
          <w:tcPr>
            <w:tcW w:w="5425" w:type="dxa"/>
            <w:gridSpan w:val="2"/>
            <w:tcBorders>
              <w:bottom w:val="single" w:color="auto" w:sz="4" w:space="0"/>
            </w:tcBorders>
            <w:vAlign w:val="center"/>
          </w:tcPr>
          <w:p w14:paraId="7E120680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毕业设计</w:t>
            </w:r>
            <w:r>
              <w:rPr>
                <w:rFonts w:hint="eastAsia" w:ascii="宋体" w:hAnsi="宋体"/>
                <w:bCs/>
                <w:kern w:val="0"/>
                <w:sz w:val="28"/>
                <w:szCs w:val="28"/>
              </w:rPr>
              <w:sym w:font="Wingdings 2" w:char="F052"/>
            </w:r>
            <w:r>
              <w:rPr>
                <w:rFonts w:hint="eastAsia" w:ascii="宋体" w:hAnsi="宋体"/>
                <w:bCs/>
                <w:kern w:val="0"/>
                <w:sz w:val="28"/>
                <w:szCs w:val="28"/>
              </w:rPr>
              <w:t xml:space="preserve">     </w:t>
            </w:r>
            <w:r>
              <w:rPr>
                <w:rFonts w:ascii="宋体" w:hAnsi="宋体"/>
                <w:bCs/>
                <w:kern w:val="0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毕业论文</w:t>
            </w:r>
            <w:r>
              <w:rPr>
                <w:rFonts w:hint="eastAsia" w:ascii="宋体" w:hAnsi="宋体"/>
                <w:bCs/>
                <w:kern w:val="0"/>
                <w:sz w:val="28"/>
                <w:szCs w:val="28"/>
              </w:rPr>
              <w:t xml:space="preserve"> □ </w:t>
            </w:r>
          </w:p>
        </w:tc>
      </w:tr>
      <w:tr w14:paraId="0E55E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738" w:type="dxa"/>
            <w:gridSpan w:val="4"/>
            <w:tcBorders>
              <w:bottom w:val="dashed" w:color="auto" w:sz="4" w:space="0"/>
            </w:tcBorders>
            <w:vAlign w:val="center"/>
          </w:tcPr>
          <w:p w14:paraId="033B2061">
            <w:pPr>
              <w:ind w:left="52"/>
              <w:rPr>
                <w:b/>
                <w:bCs/>
                <w:sz w:val="30"/>
                <w:szCs w:val="30"/>
              </w:rPr>
            </w:pPr>
            <w:r>
              <w:rPr>
                <w:rFonts w:ascii="宋体" w:hAnsi="宋体"/>
                <w:b/>
                <w:bCs/>
                <w:sz w:val="28"/>
              </w:rPr>
              <w:t>1.</w:t>
            </w:r>
            <w:r>
              <w:rPr>
                <w:rFonts w:hint="eastAsia" w:ascii="宋体" w:hAnsi="宋体"/>
                <w:b/>
                <w:bCs/>
                <w:sz w:val="28"/>
              </w:rPr>
              <w:t>毕业设计（论文）的研究背景：</w:t>
            </w:r>
          </w:p>
        </w:tc>
      </w:tr>
      <w:tr w14:paraId="65265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2" w:hRule="atLeast"/>
        </w:trPr>
        <w:tc>
          <w:tcPr>
            <w:tcW w:w="8738" w:type="dxa"/>
            <w:gridSpan w:val="4"/>
            <w:tcBorders>
              <w:top w:val="dashed" w:color="auto" w:sz="4" w:space="0"/>
              <w:bottom w:val="single" w:color="auto" w:sz="4" w:space="0"/>
            </w:tcBorders>
          </w:tcPr>
          <w:p w14:paraId="108538B3">
            <w:r>
              <w:rPr>
                <w:rFonts w:hint="eastAsia"/>
              </w:rPr>
              <w:t>（一）研究背景</w:t>
            </w:r>
          </w:p>
          <w:p w14:paraId="61DCE1CC">
            <w:r>
              <w:rPr>
                <w:rFonts w:hint="eastAsia"/>
              </w:rPr>
              <w:t>在数字经济与教育信息化深度融合的背景下，我国高等教育正迈向 “智能化、一体化、服务化” 新阶段，《教育数字化战略行动实施方案》明确要求推动教育管理数字化转型。当前多数高校教务系统存在明显短板：采用单体架构导致数据孤岛严重，专业、班级、课程等核心数据联动不足；流程固化且依赖人工操作，课程安排、权限分配等工作效率低；更关键的是，现有系统在师生服务响应、学科学习支持、教学资源生成等核心场景中智能化缺失 —— 师生咨询需人工逐一回复，效率低下；学生学科问题缺乏即时专业指导；教师教案编写依赖手动搜集资料，耗时费力。</w:t>
            </w:r>
          </w:p>
          <w:p w14:paraId="71CF46D8">
            <w:r>
              <w:rPr>
                <w:rFonts w:hint="eastAsia"/>
              </w:rPr>
              <w:t>以南京工业职业技术大学计算机与软件学院为例，其涵盖工业互联网技术等多个专业，各专业设 3-5 个班级、每班 20-45 人，师生日常教务咨询（如选课流程、成绩查询）日均超 50 次，教师每周需花费 8-12 小时编写专业课程教案，学生课后学科疑问常因缺乏即时指导导致学习断层。而 AI 技术在自然语言处理、知识图谱、智能生成等领域的突破，为解决这些痛点提供了支撑。因此，开发集成</w:t>
            </w:r>
            <w:r>
              <w:rPr>
                <w:rFonts w:hint="eastAsia"/>
                <w:b/>
                <w:bCs/>
              </w:rPr>
              <w:t>AI 客服、AI 课程助手、智能教案</w:t>
            </w:r>
            <w:r>
              <w:rPr>
                <w:rFonts w:hint="eastAsia"/>
              </w:rPr>
              <w:t>三大核心功能的高校教务系统，成为推动教务管理从 “信息化” 向 “智能化服务” 转型的关键。</w:t>
            </w:r>
          </w:p>
          <w:p w14:paraId="37DDB059">
            <w:r>
              <w:rPr>
                <w:rFonts w:hint="eastAsia"/>
              </w:rPr>
              <w:t>（二）研究意义</w:t>
            </w:r>
          </w:p>
          <w:p w14:paraId="4EC3251E">
            <w:r>
              <w:t>1. 理论意义</w:t>
            </w:r>
          </w:p>
          <w:p w14:paraId="2F73C11F">
            <w:r>
              <w:t>聚焦 AI 技术与高校教务 “服务端” 的深度融合，突破现有系统多聚焦管理功能、忽视师生服务的局限，构建 “管理 + 服务” 双驱动的教务系统架构，为教育数字化转型提供新的理论范式。</w:t>
            </w:r>
          </w:p>
          <w:p w14:paraId="06C49835">
            <w:r>
              <w:t>探索 AI 客服的多场景响应机制、学科 AI 助手的专业知识图谱构建、智能教案的动态生成逻辑，形成可复用的技术方案，拓展 AI 在教育服务领域的应用边界，为同类系统开发提供理论参考。</w:t>
            </w:r>
          </w:p>
          <w:p w14:paraId="3F0FE9D8">
            <w:r>
              <w:t>针对工业互联网技术等 6 个专业的学科特性，设计适配不同专业的 AI 服务模块，填补现有研究中 “通用 AI 功能与专业需求脱节” 的空白。</w:t>
            </w:r>
          </w:p>
          <w:p w14:paraId="608ACCF9">
            <w:r>
              <w:t>2. 实践意义</w:t>
            </w:r>
          </w:p>
          <w:p w14:paraId="47E64D90">
            <w:r>
              <w:t>师生服务层面：AI 客服 7×24 小时响应教务咨询，自动解答常见问题（如选课规则、请假流程），人工仅处理复杂问题，降低师生沟通成本； AI</w:t>
            </w:r>
            <w:r>
              <w:rPr>
                <w:rFonts w:hint="eastAsia"/>
              </w:rPr>
              <w:t>课程</w:t>
            </w:r>
            <w:r>
              <w:t>助手为学生提供课后学科答疑、知识点拆解、习题推荐，为教师提供学科资源检索、重难点分析支持，提升教与学效率。</w:t>
            </w:r>
          </w:p>
          <w:p w14:paraId="693A76BC">
            <w:r>
              <w:t>教学支持层面：智能教案模块基于课程标准与专业需求，自动生成教案框架、整合教学资源（如案例、课件链接），支持教师个性化修改，将教师教案编写时间缩短 50% 以上，聚焦教学质量提升。</w:t>
            </w:r>
          </w:p>
          <w:p w14:paraId="02E9F9F2">
            <w:pPr>
              <w:rPr>
                <w:sz w:val="30"/>
                <w:szCs w:val="30"/>
              </w:rPr>
            </w:pPr>
            <w:r>
              <w:t>管理优化层面：通过三大 AI 模块的运行数据，实时反馈师生需求（如高频咨询问题、学科薄弱点），为教务决策（如优化选课流程、调整课程重难点）提供数据支撑，推动管理从 “经验驱动” 向 “数据驱动” 转变。</w:t>
            </w:r>
          </w:p>
        </w:tc>
      </w:tr>
      <w:tr w14:paraId="0B924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8738" w:type="dxa"/>
            <w:gridSpan w:val="4"/>
            <w:tcBorders>
              <w:bottom w:val="dashed" w:color="auto" w:sz="4" w:space="0"/>
            </w:tcBorders>
          </w:tcPr>
          <w:p w14:paraId="0C0DE18B">
            <w:pPr>
              <w:ind w:left="52"/>
              <w:rPr>
                <w:rFonts w:ascii="宋体" w:hAnsi="宋体"/>
                <w:b/>
                <w:bCs/>
                <w:sz w:val="28"/>
              </w:rPr>
            </w:pPr>
            <w:r>
              <w:rPr>
                <w:rFonts w:ascii="宋体" w:hAnsi="宋体"/>
                <w:b/>
                <w:bCs/>
                <w:sz w:val="28"/>
              </w:rPr>
              <w:t>2.</w:t>
            </w:r>
            <w:r>
              <w:rPr>
                <w:rFonts w:hint="eastAsia" w:ascii="宋体" w:hAnsi="宋体"/>
                <w:b/>
                <w:bCs/>
                <w:sz w:val="28"/>
              </w:rPr>
              <w:t>毕业设计（论文）任务的内容和要求（包括原始数据、技术要求、工作要求）</w:t>
            </w:r>
          </w:p>
        </w:tc>
      </w:tr>
      <w:tr w14:paraId="0D8F4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4" w:hRule="atLeast"/>
        </w:trPr>
        <w:tc>
          <w:tcPr>
            <w:tcW w:w="8738" w:type="dxa"/>
            <w:gridSpan w:val="4"/>
            <w:tcBorders>
              <w:top w:val="dashed" w:color="auto" w:sz="4" w:space="0"/>
              <w:bottom w:val="single" w:color="auto" w:sz="4" w:space="0"/>
            </w:tcBorders>
          </w:tcPr>
          <w:p w14:paraId="69D64FE5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本研究以 “AI 赋能 + 实用高效 + 可扩展维护” 为核心，开发多角色、多专业的高校智能教务管理系统，具体内容如下：</w:t>
            </w:r>
          </w:p>
          <w:p w14:paraId="5DC3FF1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（一）系统需求分析与架构设计</w:t>
            </w:r>
          </w:p>
          <w:p w14:paraId="431D518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多角色需求分析：</w:t>
            </w:r>
          </w:p>
          <w:p w14:paraId="56CE32F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学生：除课程查询、请假申请外，新增 “AI 客服咨询”（如教务流程疑问）、“ AI </w:t>
            </w:r>
            <w:r>
              <w:rPr>
                <w:rFonts w:hint="eastAsia"/>
                <w:sz w:val="24"/>
              </w:rPr>
              <w:t>课程</w:t>
            </w:r>
            <w:r>
              <w:rPr>
                <w:sz w:val="24"/>
              </w:rPr>
              <w:t>助手使用”（如工业互联网技术专业知识点答疑、习题练习）、“智能教案查看”（课后回顾教师共享的智能教案）需求。</w:t>
            </w:r>
          </w:p>
          <w:p w14:paraId="3F84FB2D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教师：除课程管理、作业批改外，新增 “AI 客服协作”（查看学生高频咨询、辅助回复）、“ AI</w:t>
            </w:r>
            <w:r>
              <w:rPr>
                <w:rFonts w:hint="eastAsia"/>
                <w:sz w:val="24"/>
              </w:rPr>
              <w:t>课程</w:t>
            </w:r>
            <w:r>
              <w:rPr>
                <w:sz w:val="24"/>
              </w:rPr>
              <w:t>助手调用”（检索学科资源、分析学生薄弱点）、“智能教案生成与修改”（自动生成教案、个性化调整）需求。</w:t>
            </w:r>
          </w:p>
          <w:p w14:paraId="6BA4CCF4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管理员：除用户管理、数据统计外，新增 “AI 模块管理”（AI 客服知识库更新、 AI </w:t>
            </w:r>
            <w:r>
              <w:rPr>
                <w:rFonts w:hint="eastAsia"/>
                <w:sz w:val="24"/>
              </w:rPr>
              <w:t>课程</w:t>
            </w:r>
            <w:r>
              <w:rPr>
                <w:sz w:val="24"/>
              </w:rPr>
              <w:t>助手专业适配、智能教案模板维护）需求。</w:t>
            </w:r>
          </w:p>
          <w:p w14:paraId="2C57A427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技术架构设计：</w:t>
            </w:r>
          </w:p>
          <w:p w14:paraId="39413B3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采用前后端分离架构，前端以 Vue3+TypeScript+Vuetify 3 构建响应式界面，适配 Material Design 风格；后端基于 FastAPI+SQLAlchemy ORM 搭建服务端，提供高效接口与数据库操作支持；数据库选用 SQLite，实现轻量级数据安全存储。</w:t>
            </w:r>
          </w:p>
          <w:p w14:paraId="16899F0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核心特性设计：</w:t>
            </w:r>
          </w:p>
          <w:p w14:paraId="38A66E3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遵循 DRY 原则，采用模块化设计，将 AI 客服、 AI</w:t>
            </w:r>
            <w:r>
              <w:rPr>
                <w:rFonts w:hint="eastAsia"/>
                <w:sz w:val="24"/>
              </w:rPr>
              <w:t>学科</w:t>
            </w:r>
            <w:r>
              <w:rPr>
                <w:sz w:val="24"/>
              </w:rPr>
              <w:t>助手、智能教案模块设计为独立可扩展单元，支持后期新增专业适配或功能升级。</w:t>
            </w:r>
          </w:p>
          <w:p w14:paraId="63DE0C7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（二）核心数据体系构建</w:t>
            </w:r>
          </w:p>
          <w:p w14:paraId="3D18F16F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核心数据体系构建需以 “解决现有教务系统痛点、支撑三大 AI 模块功能落地、实现多角色需求” 为核心目标，从问题拆解、数据需求推导、数据组织逻辑设计到最终表结构落地，形成完整的推导链路，具体内容如下：</w:t>
            </w:r>
          </w:p>
          <w:p w14:paraId="1FDC7E3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一、数据需求推导：基于问题与功能拆解</w:t>
            </w:r>
          </w:p>
          <w:p w14:paraId="471F8AB9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1.</w:t>
            </w:r>
            <w:r>
              <w:rPr>
                <w:sz w:val="24"/>
              </w:rPr>
              <w:t>从系统痛点推导基础数据</w:t>
            </w:r>
          </w:p>
          <w:p w14:paraId="33EA65BD">
            <w:pPr>
              <w:spacing w:line="360" w:lineRule="auto"/>
              <w:rPr>
                <w:sz w:val="24"/>
              </w:rPr>
            </w:pPr>
            <w:r>
              <w:rPr>
                <w:sz w:val="24"/>
                <w:lang w:val="en-US" w:eastAsia="zh-CN"/>
              </w:rPr>
              <w:t>针对“数据孤岛、人工效率低”痛点，需构建基础关联数据：以“专业-课程-师生”为核心链路，整合专业基础数据（ID、名称、培养方案）、课程基础数据（ID、所属专业、课程标准）、师生数据（ID、角色、所属专业），同时补充课程资源、权限配置数据，打破数据割裂，为AI模块提供场景定位基础。</w:t>
            </w:r>
          </w:p>
          <w:p w14:paraId="34C5294D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2.</w:t>
            </w:r>
            <w:r>
              <w:rPr>
                <w:sz w:val="24"/>
              </w:rPr>
              <w:t>从三大AI模块推导专项数据</w:t>
            </w:r>
          </w:p>
          <w:p w14:paraId="51753F43">
            <w:pPr>
              <w:spacing w:line="360" w:lineRule="auto"/>
              <w:rPr>
                <w:sz w:val="24"/>
              </w:rPr>
            </w:pPr>
            <w:r>
              <w:rPr>
                <w:sz w:val="24"/>
                <w:lang w:val="en-US" w:eastAsia="zh-CN"/>
              </w:rPr>
              <w:t>1. AI客服模块：需“常见问题数据”（含关键词、标准答案、场景标签）解决回复不统一问题，“咨询历史数据”记录用户咨询轨迹，支撑知识库迭代，实现精准响应。</w:t>
            </w:r>
          </w:p>
          <w:p w14:paraId="2269E1F4">
            <w:pPr>
              <w:spacing w:line="360" w:lineRule="auto"/>
              <w:rPr>
                <w:sz w:val="24"/>
              </w:rPr>
            </w:pPr>
            <w:r>
              <w:rPr>
                <w:sz w:val="24"/>
                <w:lang w:val="en-US" w:eastAsia="zh-CN"/>
              </w:rPr>
              <w:t>2. AI课程助手模块：构建“知识点层级数据”（按专业梳理核心-子知识点关联）、“知识点关联资源数据”（绑定案例、习题）、“学习进度数据”（记录学生掌握情况），支撑学科答疑与个性化资源推荐。</w:t>
            </w:r>
          </w:p>
          <w:p w14:paraId="1905FD63">
            <w:pPr>
              <w:spacing w:line="360" w:lineRule="auto"/>
              <w:rPr>
                <w:sz w:val="24"/>
              </w:rPr>
            </w:pPr>
            <w:r>
              <w:rPr>
                <w:sz w:val="24"/>
                <w:lang w:val="en-US" w:eastAsia="zh-CN"/>
              </w:rPr>
              <w:t>3. 智能教案模块：设计“教案结构模板数据”（分理论/实践课框架）、“课程标准关联数据”（确保教案贴合课程要求）、“个性化修改记录数据”（优化模板适配教学需求），降低教师教案编写成本。</w:t>
            </w:r>
          </w:p>
          <w:p w14:paraId="2CB06902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4.</w:t>
            </w:r>
            <w:r>
              <w:rPr>
                <w:sz w:val="24"/>
              </w:rPr>
              <w:t>从多角色需求推导权限与关联数据</w:t>
            </w:r>
          </w:p>
          <w:p w14:paraId="32FD3021">
            <w:pPr>
              <w:spacing w:line="360" w:lineRule="auto"/>
              <w:rPr>
                <w:sz w:val="24"/>
              </w:rPr>
            </w:pPr>
            <w:r>
              <w:rPr>
                <w:sz w:val="24"/>
                <w:lang w:val="en-US" w:eastAsia="zh-CN"/>
              </w:rPr>
              <w:t>学生端需“教案共享权限、专业-知识点关联数据”，确保精准获取本班资源与专业答疑；教师端需“教师-课程关联、学生薄弱点数据”，支撑教案生成与学情分析；管理员端需“知识库更新日志、模板版本数据”，实现AI模块可维护与数据可追溯。</w:t>
            </w:r>
          </w:p>
          <w:p w14:paraId="7C71C2C7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二、数据组织逻辑：三层关联体系框架</w:t>
            </w:r>
          </w:p>
          <w:p w14:paraId="2CA06BDC">
            <w:pPr>
              <w:spacing w:line="360" w:lineRule="auto"/>
              <w:rPr>
                <w:sz w:val="24"/>
              </w:rPr>
            </w:pPr>
            <w:r>
              <w:rPr>
                <w:sz w:val="24"/>
                <w:lang w:val="en-US" w:eastAsia="zh-CN"/>
              </w:rPr>
              <w:t>按“基础层-业务层-AI服务层”层级组织，避免数据孤岛，实现跨层联动：</w:t>
            </w:r>
          </w:p>
          <w:p w14:paraId="736816A5">
            <w:pPr>
              <w:spacing w:line="360" w:lineRule="auto"/>
              <w:rPr>
                <w:sz w:val="24"/>
              </w:rPr>
            </w:pPr>
            <w:r>
              <w:rPr>
                <w:sz w:val="24"/>
                <w:lang w:val="en-US" w:eastAsia="zh-CN"/>
              </w:rPr>
              <w:t>1. 基础数据层：以专业表、课程表、用户表为核心，通过“专业ID、课程ID”构建“专业→课程→师生”关联链，提供底层场景定位数据。</w:t>
            </w:r>
          </w:p>
          <w:p w14:paraId="359F1982">
            <w:pPr>
              <w:spacing w:line="360" w:lineRule="auto"/>
              <w:rPr>
                <w:sz w:val="24"/>
              </w:rPr>
            </w:pPr>
            <w:r>
              <w:rPr>
                <w:sz w:val="24"/>
                <w:lang w:val="en-US" w:eastAsia="zh-CN"/>
              </w:rPr>
              <w:t>2. 业务数据层：包含课程资源表、权限配置表，将基础数据与业务资源、操作权限绑定，衔接底层数据与AI服务需求。</w:t>
            </w:r>
          </w:p>
          <w:p w14:paraId="56AE2CD3">
            <w:pPr>
              <w:spacing w:line="360" w:lineRule="auto"/>
              <w:rPr>
                <w:sz w:val="24"/>
              </w:rPr>
            </w:pPr>
            <w:r>
              <w:rPr>
                <w:sz w:val="24"/>
                <w:lang w:val="en-US" w:eastAsia="zh-CN"/>
              </w:rPr>
              <w:t>3. AI服务数据层：整合AI客服知识库、学科知识点库、教案模板库，通过“专业ID、课程ID”与基础层、业务层联动，确保AI服务贴合教务场景。</w:t>
            </w:r>
          </w:p>
          <w:p w14:paraId="639A38C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（三）功能模块开发</w:t>
            </w:r>
          </w:p>
          <w:p w14:paraId="60309F3E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用户管理模块：新增 AI 模块权限配置（如教师可编辑智能教案）。</w:t>
            </w:r>
          </w:p>
          <w:p w14:paraId="73821F2D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课程管理模块：关联学科知识点表与教案模板表，支持课程与 AI 资源自动匹配。</w:t>
            </w:r>
            <w:r>
              <w:rPr>
                <w:sz w:val="24"/>
              </w:rPr>
              <w:t>三大 AI 核心模块开发</w:t>
            </w:r>
          </w:p>
          <w:p w14:paraId="61F303DF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AI 客服模块</w:t>
            </w:r>
          </w:p>
          <w:p w14:paraId="42E86C09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语义理解：基于自然语言处理技术，实现用户咨询的意图识别（如 “怎么选课”“成绩什么时候出”），准确率≥90%。</w:t>
            </w:r>
          </w:p>
          <w:p w14:paraId="69856FE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自动回复：匹配 AI 客服知识库，即时回复常见问题；复杂问题自动转接人工，并同步咨询历史。</w:t>
            </w:r>
          </w:p>
          <w:p w14:paraId="3F23F56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知识库更新：支持管理员手动添加问题，或通过用户咨询记录自动挖掘新增问题（如每月分析高频未解答问题，提示更新）。</w:t>
            </w:r>
          </w:p>
          <w:p w14:paraId="618B02A7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AI</w:t>
            </w:r>
            <w:r>
              <w:rPr>
                <w:rFonts w:hint="eastAsia"/>
                <w:sz w:val="24"/>
              </w:rPr>
              <w:t>课程</w:t>
            </w:r>
            <w:r>
              <w:rPr>
                <w:sz w:val="24"/>
              </w:rPr>
              <w:t>助手模块</w:t>
            </w:r>
          </w:p>
          <w:p w14:paraId="2CF1B961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智能答疑：学生输入学科问题（如 “工业互联网中 OPC UA 协议的作用”），助手基于知识图谱精准匹配知识点，提供文字解答与关联案例。</w:t>
            </w:r>
          </w:p>
          <w:p w14:paraId="5061899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资源推荐：根据学生学习进度（如当前学习 “工业互联网平台搭建” 章节），推荐相关知识点、习题、课件资源。</w:t>
            </w:r>
          </w:p>
          <w:p w14:paraId="48E941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教师辅助：教师输入课程重难点（如 “讲解边缘计算在工业互联网中的应用”），助手检索相关文献、教学案例，生成参考资料包。</w:t>
            </w:r>
          </w:p>
          <w:p w14:paraId="3791E3A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智能教案模块</w:t>
            </w:r>
          </w:p>
          <w:p w14:paraId="72D85CD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自动生成：教师选择课程与课时，系统基于教案模板表与学科知识点表，自动生成教案初稿。</w:t>
            </w:r>
          </w:p>
          <w:p w14:paraId="716F24CF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个性化修改：提供可视化编辑界面，支持教师调整教学流程、补充案例、替换资源链接，修改内容自动同步至数据库。</w:t>
            </w:r>
          </w:p>
          <w:p w14:paraId="4FE3FEBA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教案共享：教师可将完成的教案共享至课程班级，学生通过系统查看，支持课后回顾。</w:t>
            </w:r>
          </w:p>
          <w:p w14:paraId="78B00434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（</w:t>
            </w:r>
            <w:r>
              <w:rPr>
                <w:rFonts w:hint="eastAsia"/>
                <w:sz w:val="24"/>
              </w:rPr>
              <w:t>四</w:t>
            </w:r>
            <w:r>
              <w:rPr>
                <w:sz w:val="24"/>
              </w:rPr>
              <w:t>）系统测试与验证</w:t>
            </w:r>
          </w:p>
          <w:p w14:paraId="139E288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功能测试：设计测试用例，全面验证核心模块功能，确保无逻辑错误与操作异常。</w:t>
            </w:r>
          </w:p>
          <w:p w14:paraId="3586147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性能测试：测试系统并发访问、响应速度等指标，保障实际应用中稳定运行。</w:t>
            </w:r>
          </w:p>
          <w:p w14:paraId="4E2076B0">
            <w:pPr>
              <w:ind w:left="52"/>
              <w:rPr>
                <w:rFonts w:ascii="宋体" w:hAnsi="宋体"/>
              </w:rPr>
            </w:pPr>
            <w:r>
              <w:rPr>
                <w:sz w:val="24"/>
              </w:rPr>
              <w:t>用户体验测试：邀请不同角色用户试用，重点收集三大 AI 模块的操作便捷性、功能实用性反馈，优化</w:t>
            </w:r>
            <w:bookmarkStart w:id="0" w:name="_GoBack"/>
            <w:bookmarkEnd w:id="0"/>
            <w:r>
              <w:rPr>
                <w:sz w:val="24"/>
              </w:rPr>
              <w:t>交互细节。</w:t>
            </w:r>
          </w:p>
        </w:tc>
      </w:tr>
      <w:tr w14:paraId="34A5B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738" w:type="dxa"/>
            <w:gridSpan w:val="4"/>
            <w:tcBorders>
              <w:bottom w:val="dashed" w:color="auto" w:sz="4" w:space="0"/>
            </w:tcBorders>
            <w:vAlign w:val="center"/>
          </w:tcPr>
          <w:p w14:paraId="4DF7C0A1">
            <w:pPr>
              <w:ind w:left="52"/>
              <w:rPr>
                <w:rFonts w:ascii="宋体" w:hAnsi="宋体"/>
                <w:b/>
                <w:bCs/>
                <w:sz w:val="28"/>
              </w:rPr>
            </w:pPr>
            <w:r>
              <w:rPr>
                <w:rFonts w:hint="eastAsia" w:ascii="宋体" w:hAnsi="宋体"/>
                <w:b/>
                <w:bCs/>
                <w:sz w:val="28"/>
              </w:rPr>
              <w:t>3</w:t>
            </w:r>
            <w:r>
              <w:rPr>
                <w:rFonts w:ascii="宋体" w:hAnsi="宋体"/>
                <w:b/>
                <w:bCs/>
                <w:sz w:val="28"/>
              </w:rPr>
              <w:t>.</w:t>
            </w:r>
            <w:r>
              <w:rPr>
                <w:rFonts w:hint="eastAsia" w:ascii="宋体" w:hAnsi="宋体"/>
                <w:b/>
                <w:bCs/>
                <w:sz w:val="28"/>
              </w:rPr>
              <w:t>毕业设计（论文）成果的要求（包括</w:t>
            </w:r>
            <w:r>
              <w:rPr>
                <w:rFonts w:hint="eastAsia"/>
                <w:b/>
                <w:bCs/>
                <w:sz w:val="28"/>
              </w:rPr>
              <w:t>图表、实物等硬件要求</w:t>
            </w:r>
            <w:r>
              <w:rPr>
                <w:rFonts w:hint="eastAsia" w:ascii="宋体" w:hAnsi="宋体"/>
                <w:b/>
                <w:bCs/>
                <w:sz w:val="28"/>
              </w:rPr>
              <w:t>）</w:t>
            </w:r>
          </w:p>
        </w:tc>
      </w:tr>
      <w:tr w14:paraId="01D62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</w:trPr>
        <w:tc>
          <w:tcPr>
            <w:tcW w:w="8738" w:type="dxa"/>
            <w:gridSpan w:val="4"/>
            <w:tcBorders>
              <w:top w:val="dashed" w:color="auto" w:sz="4" w:space="0"/>
              <w:bottom w:val="single" w:color="auto" w:sz="4" w:space="0"/>
            </w:tcBorders>
          </w:tcPr>
          <w:p w14:paraId="54713F9E">
            <w:pPr>
              <w:ind w:left="52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>（一）软件成果</w:t>
            </w:r>
          </w:p>
          <w:p w14:paraId="17A27D6C">
            <w:pPr>
              <w:ind w:left="52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>可独立运行的 “AI赋能的高校教务系统” 1 套，包含：</w:t>
            </w:r>
          </w:p>
          <w:p w14:paraId="4FB256B9">
            <w:pPr>
              <w:ind w:left="52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>前端源码（含 Vue 组件、路由配置、状态管理代码）；</w:t>
            </w:r>
          </w:p>
          <w:p w14:paraId="07B5E3C8">
            <w:pPr>
              <w:ind w:left="52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>后端源码（含 API 接口、AI 算法模块、数据库操作代码）；</w:t>
            </w:r>
          </w:p>
          <w:p w14:paraId="67F02AB3">
            <w:pPr>
              <w:ind w:left="52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>数据库文件（SQLite 脚本，支持一键初始化）；</w:t>
            </w:r>
          </w:p>
          <w:p w14:paraId="03A2F3F7">
            <w:pPr>
              <w:ind w:left="52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>系统部署说明书（含 Windows 10/11 环境部署步骤、依赖包清单，如 Node.js 18+、Python 3.10+）；</w:t>
            </w:r>
          </w:p>
          <w:p w14:paraId="1D760387">
            <w:pPr>
              <w:ind w:left="52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>可选成果：申请 1 项软件著作权，提供系统演示视频。</w:t>
            </w:r>
          </w:p>
          <w:p w14:paraId="53721FBE">
            <w:pPr>
              <w:ind w:left="52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>（二）文档成果</w:t>
            </w:r>
          </w:p>
          <w:p w14:paraId="5C38A3B9">
            <w:pPr>
              <w:ind w:left="52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>毕业论文（≥1 万字）：结构完整，涵盖研究背景、需求分析、系统设计、开发实现、测试结果、结论与展望，突出 AI 技术的创新应用；</w:t>
            </w:r>
          </w:p>
          <w:p w14:paraId="03EDD909">
            <w:pPr>
              <w:ind w:left="52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>开题报告：包含详细的系统总体架构图（分层标注前端、后端、AI 层）、数据库 ER 图、核心模块流程图、界面原型图、关键代码片段；</w:t>
            </w:r>
          </w:p>
          <w:p w14:paraId="56ABE62A">
            <w:pPr>
              <w:ind w:left="52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>测试报告：明确测试用例（≥50 条，含功能、性能、安全用例）、测试数据、测试结果（通过率≥95%）及优化方案。</w:t>
            </w:r>
          </w:p>
          <w:p w14:paraId="1BA9C66E">
            <w:pPr>
              <w:ind w:left="52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>（三）图表要求</w:t>
            </w:r>
          </w:p>
          <w:p w14:paraId="5B2E3663">
            <w:pPr>
              <w:ind w:left="52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>论文及设计说明书需包含≥5 幅核心图表，格式规范（标注图号、标题、单位），具体如下：</w:t>
            </w:r>
          </w:p>
          <w:p w14:paraId="16E9584C">
            <w:pPr>
              <w:ind w:left="52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>系统总体架构图：采用分层架构，标注前端（Vue3 组件）、后端（FastAPI 服务）、AI 层（算法模块）、数据层（SQLite）的交互关系；</w:t>
            </w:r>
          </w:p>
          <w:p w14:paraId="10ED1768">
            <w:pPr>
              <w:ind w:left="52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>数据库 ER 图：标注 8 张核心表的字段、数据类型、主键 / 外键，明确表间关联；</w:t>
            </w:r>
          </w:p>
          <w:p w14:paraId="72A7A24E">
            <w:pPr>
              <w:ind w:left="52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>核心模块流程图：以 AI 排课为例，用泳道图展示 “需求收集→规则设置→遗传算法计算→冲突检测→排课表生成” 流程；</w:t>
            </w:r>
          </w:p>
          <w:p w14:paraId="240A8D03">
            <w:pPr>
              <w:ind w:left="52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>关键功能界面截图：包含 AI 课程推荐界面、请假申请自动校验界面；</w:t>
            </w:r>
          </w:p>
          <w:p w14:paraId="43D07D89">
            <w:pPr>
              <w:ind w:left="52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>性能测试结果对比图：采用柱状图对比传统教务系统与本系统的排课时间、响应速度，折线图展示并发用户数与响应时间的关系。</w:t>
            </w:r>
          </w:p>
          <w:p w14:paraId="306CDB9E">
            <w:pPr>
              <w:ind w:left="52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>（四）其他要求</w:t>
            </w:r>
          </w:p>
          <w:p w14:paraId="5B3216FC">
            <w:pPr>
              <w:ind w:left="52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>答辩 PPT（≥10 页）：直观展示课题背景（含传统系统痛点）、系统功能（重点演示 AI 模块）、技术亮点、测试效果（性能数据），附核心功能操作录屏；</w:t>
            </w:r>
          </w:p>
          <w:p w14:paraId="2BA8B28A">
            <w:pPr>
              <w:ind w:left="52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>演示要求：答辩时需现场操作系统核心功能，无明显 Bug，响应流畅。</w:t>
            </w:r>
          </w:p>
        </w:tc>
      </w:tr>
      <w:tr w14:paraId="1B936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738" w:type="dxa"/>
            <w:gridSpan w:val="4"/>
            <w:tcBorders>
              <w:bottom w:val="dashed" w:color="auto" w:sz="4" w:space="0"/>
            </w:tcBorders>
            <w:vAlign w:val="center"/>
          </w:tcPr>
          <w:p w14:paraId="10C974D3">
            <w:pPr>
              <w:ind w:left="52"/>
              <w:rPr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28"/>
              </w:rPr>
              <w:t>4</w:t>
            </w:r>
            <w:r>
              <w:rPr>
                <w:rFonts w:ascii="宋体" w:hAnsi="宋体"/>
                <w:b/>
                <w:bCs/>
                <w:sz w:val="28"/>
              </w:rPr>
              <w:t>.</w:t>
            </w:r>
            <w:r>
              <w:rPr>
                <w:rFonts w:hint="eastAsia" w:ascii="宋体" w:hAnsi="宋体"/>
                <w:b/>
                <w:bCs/>
                <w:sz w:val="28"/>
              </w:rPr>
              <w:t>主要参考文献</w:t>
            </w:r>
          </w:p>
        </w:tc>
      </w:tr>
      <w:tr w14:paraId="23AF6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8738" w:type="dxa"/>
            <w:gridSpan w:val="4"/>
            <w:tcBorders>
              <w:top w:val="dashed" w:color="auto" w:sz="4" w:space="0"/>
              <w:bottom w:val="single" w:color="auto" w:sz="4" w:space="0"/>
            </w:tcBorders>
          </w:tcPr>
          <w:p w14:paraId="01840B8C">
            <w:pPr>
              <w:numPr>
                <w:ilvl w:val="0"/>
                <w:numId w:val="1"/>
              </w:numPr>
              <w:ind w:left="51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>李欣，王磊。基于前后端分离的智能教务管理系统设计与实现 [J]. 计算机工程与科学，2024, 46 (5): 892-899.</w:t>
            </w:r>
          </w:p>
          <w:p w14:paraId="41BBBE0B">
            <w:pPr>
              <w:numPr>
                <w:ilvl w:val="0"/>
                <w:numId w:val="1"/>
              </w:numPr>
              <w:ind w:left="51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>陈皓，李艳秋。基于 Vue3+FastAPI 的高校教务管理系统设计与实现 [J]. 计算机工程与应用，2023，59（18）：236-243.</w:t>
            </w:r>
          </w:p>
          <w:p w14:paraId="5A769113">
            <w:pPr>
              <w:numPr>
                <w:ilvl w:val="0"/>
                <w:numId w:val="1"/>
              </w:numPr>
              <w:ind w:left="51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>张明远，刘芳。人工智能赋能高校教务管理数字化转型的路径研究 [J]. 中国教育信息化，2025, 31 (2): 45-52.</w:t>
            </w:r>
          </w:p>
          <w:p w14:paraId="11A86C7B">
            <w:pPr>
              <w:numPr>
                <w:ilvl w:val="0"/>
                <w:numId w:val="1"/>
              </w:numPr>
              <w:ind w:left="51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>王红. Vue3+TypeScript 前端开发实战 [M]. 北京：清华大学出版社，2025. ISBN: 9787302641235.</w:t>
            </w:r>
          </w:p>
          <w:p w14:paraId="055677B7">
            <w:pPr>
              <w:numPr>
                <w:ilvl w:val="0"/>
                <w:numId w:val="1"/>
              </w:numPr>
              <w:ind w:left="51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>陈阳. FastAPI 后端开发与实战 [M]. 北京：机械工业出版社，2024. ISBN: 9787111745621.</w:t>
            </w:r>
          </w:p>
          <w:p w14:paraId="613B5077">
            <w:pPr>
              <w:numPr>
                <w:ilvl w:val="0"/>
                <w:numId w:val="1"/>
              </w:numPr>
              <w:ind w:left="51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>赵伟。基于 SQLite 的轻量级数据库系统设计与应用 [J]. 计算机应用研究，2023, 40 (8): 2415-2420.</w:t>
            </w:r>
          </w:p>
          <w:p w14:paraId="3B8ACCC8">
            <w:pPr>
              <w:numPr>
                <w:ilvl w:val="0"/>
                <w:numId w:val="1"/>
              </w:numPr>
              <w:ind w:left="51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>刘军，吴敏。智慧教务系统中 AI 选课冲突检测与智能推荐算法研究 [J]. 计算机应用与软件，2024, 41 (3): 189-195.</w:t>
            </w:r>
          </w:p>
          <w:p w14:paraId="56DEEF8B">
            <w:pPr>
              <w:numPr>
                <w:ilvl w:val="0"/>
                <w:numId w:val="1"/>
              </w:numPr>
              <w:ind w:left="51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>湖南工业大学教务处。智慧教学管理体系的构建与实践 [R]. 2025.</w:t>
            </w:r>
          </w:p>
          <w:p w14:paraId="41988E00">
            <w:pPr>
              <w:numPr>
                <w:ilvl w:val="0"/>
                <w:numId w:val="1"/>
              </w:numPr>
              <w:ind w:left="51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>中华人民共和国教育部。教育数字化战略行动实施方案 [Z]. 2023.</w:t>
            </w:r>
          </w:p>
          <w:p w14:paraId="148C5C10">
            <w:pPr>
              <w:numPr>
                <w:ilvl w:val="0"/>
                <w:numId w:val="1"/>
              </w:numPr>
              <w:ind w:left="51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>张敏，刘栋。基于自适应遗传算法的高校智能排课系统优化 [J]. 计算机仿真，2025, 42 (4): 215-220.</w:t>
            </w:r>
          </w:p>
          <w:p w14:paraId="67B47EEB">
            <w:pPr>
              <w:numPr>
                <w:ilvl w:val="0"/>
                <w:numId w:val="1"/>
              </w:numPr>
              <w:ind w:left="51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 xml:space="preserve"> Mi Y, Yu Y, Zhao Y Y. SmartCourse: A Contextual AI-Powered Course Advising System for Undergraduates [R]. arXiv, 2025.</w:t>
            </w:r>
          </w:p>
          <w:p w14:paraId="1275E48D">
            <w:pPr>
              <w:numPr>
                <w:ilvl w:val="0"/>
                <w:numId w:val="1"/>
              </w:numPr>
              <w:ind w:left="51"/>
              <w:rPr>
                <w:rFonts w:ascii="宋体" w:hAnsi="宋体" w:cs="宋体"/>
                <w:spacing w:val="8"/>
                <w:kern w:val="0"/>
              </w:rPr>
            </w:pPr>
            <w:r>
              <w:rPr>
                <w:rFonts w:ascii="宋体" w:hAnsi="宋体" w:cs="宋体"/>
                <w:spacing w:val="8"/>
                <w:kern w:val="0"/>
              </w:rPr>
              <w:t>Almutairi S, Alqahtani F. Leveraging Explainable AI to Recommend Personalized Learning Pathways in Higher Education [J]. Journal of Mathematics and Statistics Studies, 2025, 11 (3): 78-92.</w:t>
            </w:r>
          </w:p>
          <w:p w14:paraId="4FCDAD45">
            <w:pPr>
              <w:ind w:left="51"/>
              <w:rPr>
                <w:rFonts w:ascii="宋体" w:hAnsi="宋体" w:cs="宋体"/>
                <w:spacing w:val="8"/>
                <w:kern w:val="0"/>
              </w:rPr>
            </w:pPr>
          </w:p>
          <w:p w14:paraId="207D04D0">
            <w:pPr>
              <w:ind w:left="51"/>
              <w:rPr>
                <w:rFonts w:ascii="宋体" w:hAnsi="宋体" w:cs="宋体"/>
                <w:spacing w:val="8"/>
                <w:kern w:val="0"/>
              </w:rPr>
            </w:pPr>
          </w:p>
          <w:p w14:paraId="772E63BF">
            <w:pPr>
              <w:rPr>
                <w:rFonts w:ascii="宋体" w:hAnsi="宋体" w:cs="宋体"/>
                <w:spacing w:val="8"/>
                <w:kern w:val="0"/>
              </w:rPr>
            </w:pPr>
          </w:p>
          <w:p w14:paraId="49B57B77">
            <w:pPr>
              <w:ind w:left="51"/>
              <w:rPr>
                <w:rFonts w:ascii="宋体" w:hAnsi="宋体" w:cs="宋体"/>
                <w:spacing w:val="8"/>
                <w:kern w:val="0"/>
              </w:rPr>
            </w:pPr>
          </w:p>
          <w:p w14:paraId="524E5F6B">
            <w:pPr>
              <w:rPr>
                <w:rFonts w:ascii="宋体" w:hAnsi="宋体" w:cs="宋体"/>
                <w:spacing w:val="8"/>
                <w:kern w:val="0"/>
              </w:rPr>
            </w:pPr>
          </w:p>
        </w:tc>
      </w:tr>
      <w:tr w14:paraId="4766C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</w:trPr>
        <w:tc>
          <w:tcPr>
            <w:tcW w:w="8738" w:type="dxa"/>
            <w:gridSpan w:val="4"/>
            <w:tcBorders>
              <w:top w:val="single" w:color="auto" w:sz="4" w:space="0"/>
              <w:bottom w:val="dashed" w:color="auto" w:sz="4" w:space="0"/>
            </w:tcBorders>
          </w:tcPr>
          <w:p w14:paraId="1B31250B">
            <w:pPr>
              <w:ind w:left="52"/>
              <w:rPr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28"/>
              </w:rPr>
              <w:t>5</w:t>
            </w:r>
            <w:r>
              <w:rPr>
                <w:rFonts w:ascii="宋体" w:hAnsi="宋体"/>
                <w:b/>
                <w:bCs/>
                <w:sz w:val="28"/>
              </w:rPr>
              <w:t>.</w:t>
            </w:r>
            <w:r>
              <w:rPr>
                <w:rFonts w:hint="eastAsia" w:ascii="宋体" w:hAnsi="宋体"/>
                <w:b/>
                <w:bCs/>
                <w:sz w:val="28"/>
              </w:rPr>
              <w:t>毕业论文(设计</w:t>
            </w:r>
            <w:r>
              <w:rPr>
                <w:rFonts w:ascii="宋体" w:hAnsi="宋体"/>
                <w:b/>
                <w:bCs/>
                <w:sz w:val="28"/>
              </w:rPr>
              <w:t>)</w:t>
            </w:r>
            <w:r>
              <w:rPr>
                <w:rFonts w:hint="eastAsia" w:ascii="宋体" w:hAnsi="宋体"/>
                <w:b/>
                <w:bCs/>
                <w:sz w:val="28"/>
              </w:rPr>
              <w:t>进度计划(以周为单位</w:t>
            </w:r>
            <w:r>
              <w:rPr>
                <w:rFonts w:ascii="宋体" w:hAnsi="宋体"/>
                <w:b/>
                <w:bCs/>
                <w:sz w:val="28"/>
              </w:rPr>
              <w:t>)</w:t>
            </w:r>
          </w:p>
        </w:tc>
      </w:tr>
      <w:tr w14:paraId="40B85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2887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4CB77E09">
            <w:pPr>
              <w:ind w:left="52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起止日期</w:t>
            </w:r>
          </w:p>
        </w:tc>
        <w:tc>
          <w:tcPr>
            <w:tcW w:w="5851" w:type="dxa"/>
            <w:gridSpan w:val="3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366AF7FC">
            <w:pPr>
              <w:ind w:left="52"/>
              <w:jc w:val="left"/>
              <w:rPr>
                <w:sz w:val="28"/>
              </w:rPr>
            </w:pPr>
            <w:r>
              <w:rPr>
                <w:rFonts w:hint="eastAsia"/>
                <w:sz w:val="28"/>
              </w:rPr>
              <w:t>工作内容</w:t>
            </w:r>
          </w:p>
        </w:tc>
      </w:tr>
      <w:tr w14:paraId="05F75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2887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7B7F9B7F">
            <w:pPr>
              <w:ind w:left="52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bCs/>
              </w:rPr>
              <w:t>2025年</w:t>
            </w:r>
          </w:p>
        </w:tc>
        <w:tc>
          <w:tcPr>
            <w:tcW w:w="5851" w:type="dxa"/>
            <w:gridSpan w:val="3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697D461A">
            <w:pPr>
              <w:ind w:left="52"/>
              <w:jc w:val="left"/>
              <w:rPr>
                <w:rFonts w:ascii="宋体" w:hAnsi="宋体"/>
              </w:rPr>
            </w:pPr>
          </w:p>
        </w:tc>
      </w:tr>
      <w:tr w14:paraId="7AF76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2887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7C621832">
            <w:pPr>
              <w:ind w:left="52"/>
              <w:jc w:val="center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11月1日</w:t>
            </w:r>
            <w:r>
              <w:rPr>
                <w:rFonts w:ascii="宋体" w:hAnsi="宋体"/>
                <w:bCs/>
              </w:rPr>
              <w:t>—</w:t>
            </w:r>
            <w:r>
              <w:rPr>
                <w:rFonts w:hint="eastAsia" w:ascii="宋体" w:hAnsi="宋体"/>
                <w:bCs/>
              </w:rPr>
              <w:t>11月15日</w:t>
            </w:r>
          </w:p>
        </w:tc>
        <w:tc>
          <w:tcPr>
            <w:tcW w:w="5851" w:type="dxa"/>
            <w:gridSpan w:val="3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5A47438D">
            <w:pPr>
              <w:ind w:left="52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完成选题、审题工作</w:t>
            </w:r>
          </w:p>
        </w:tc>
      </w:tr>
      <w:tr w14:paraId="57FDA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2887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016F4F4F">
            <w:pPr>
              <w:ind w:left="52"/>
              <w:jc w:val="center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11月16日—11月25日</w:t>
            </w:r>
          </w:p>
        </w:tc>
        <w:tc>
          <w:tcPr>
            <w:tcW w:w="5851" w:type="dxa"/>
            <w:gridSpan w:val="3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2642492A">
            <w:pPr>
              <w:ind w:left="52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下达任务书</w:t>
            </w:r>
          </w:p>
        </w:tc>
      </w:tr>
      <w:tr w14:paraId="3AE5E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2887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38960837">
            <w:pPr>
              <w:ind w:left="52"/>
              <w:jc w:val="center"/>
              <w:rPr>
                <w:sz w:val="30"/>
                <w:szCs w:val="30"/>
              </w:rPr>
            </w:pPr>
            <w:r>
              <w:rPr>
                <w:rFonts w:hint="eastAsia" w:ascii="宋体" w:hAnsi="宋体"/>
                <w:bCs/>
              </w:rPr>
              <w:t>11月26日—12月25日</w:t>
            </w:r>
          </w:p>
        </w:tc>
        <w:tc>
          <w:tcPr>
            <w:tcW w:w="5851" w:type="dxa"/>
            <w:gridSpan w:val="3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6EC5F21B">
            <w:pPr>
              <w:ind w:left="52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课题调研，撰写开题报告</w:t>
            </w:r>
          </w:p>
        </w:tc>
      </w:tr>
      <w:tr w14:paraId="7E741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2887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2080C0D8">
            <w:pPr>
              <w:ind w:left="52"/>
              <w:jc w:val="center"/>
              <w:rPr>
                <w:sz w:val="30"/>
                <w:szCs w:val="30"/>
              </w:rPr>
            </w:pPr>
            <w:r>
              <w:rPr>
                <w:rFonts w:hint="eastAsia" w:ascii="宋体" w:hAnsi="宋体"/>
                <w:bCs/>
              </w:rPr>
              <w:t>12月25日—12月31日</w:t>
            </w:r>
          </w:p>
        </w:tc>
        <w:tc>
          <w:tcPr>
            <w:tcW w:w="5851" w:type="dxa"/>
            <w:gridSpan w:val="3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0672D578">
            <w:pPr>
              <w:ind w:left="52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完成开题报告答辩</w:t>
            </w:r>
          </w:p>
        </w:tc>
      </w:tr>
      <w:tr w14:paraId="35519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2887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47767EBE">
            <w:pPr>
              <w:ind w:left="52"/>
              <w:jc w:val="center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2026年</w:t>
            </w:r>
          </w:p>
        </w:tc>
        <w:tc>
          <w:tcPr>
            <w:tcW w:w="5851" w:type="dxa"/>
            <w:gridSpan w:val="3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27E91EDC">
            <w:pPr>
              <w:ind w:left="52"/>
              <w:jc w:val="left"/>
              <w:rPr>
                <w:rFonts w:ascii="宋体" w:hAnsi="宋体"/>
              </w:rPr>
            </w:pPr>
          </w:p>
        </w:tc>
      </w:tr>
      <w:tr w14:paraId="5305D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2887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171852A6">
            <w:pPr>
              <w:ind w:left="52"/>
              <w:jc w:val="center"/>
              <w:rPr>
                <w:sz w:val="30"/>
                <w:szCs w:val="30"/>
              </w:rPr>
            </w:pPr>
            <w:r>
              <w:rPr>
                <w:rFonts w:hint="eastAsia" w:ascii="宋体" w:hAnsi="宋体"/>
                <w:bCs/>
              </w:rPr>
              <w:t>1月1日—1月3</w:t>
            </w:r>
            <w:r>
              <w:rPr>
                <w:rFonts w:ascii="宋体" w:hAnsi="宋体"/>
                <w:bCs/>
              </w:rPr>
              <w:t>1</w:t>
            </w:r>
            <w:r>
              <w:rPr>
                <w:rFonts w:hint="eastAsia" w:ascii="宋体" w:hAnsi="宋体"/>
                <w:bCs/>
              </w:rPr>
              <w:t>日</w:t>
            </w:r>
          </w:p>
        </w:tc>
        <w:tc>
          <w:tcPr>
            <w:tcW w:w="5851" w:type="dxa"/>
            <w:gridSpan w:val="3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1B277024">
            <w:pPr>
              <w:ind w:left="52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系统概要设计、详细设计</w:t>
            </w:r>
          </w:p>
        </w:tc>
      </w:tr>
      <w:tr w14:paraId="57217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2887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21952E1F">
            <w:pPr>
              <w:ind w:left="52"/>
              <w:jc w:val="center"/>
              <w:rPr>
                <w:sz w:val="30"/>
                <w:szCs w:val="30"/>
              </w:rPr>
            </w:pPr>
            <w:r>
              <w:rPr>
                <w:rFonts w:hint="eastAsia" w:ascii="宋体" w:hAnsi="宋体"/>
                <w:bCs/>
              </w:rPr>
              <w:t>2月1日—2月15日</w:t>
            </w:r>
          </w:p>
        </w:tc>
        <w:tc>
          <w:tcPr>
            <w:tcW w:w="5851" w:type="dxa"/>
            <w:gridSpan w:val="3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7317122E">
            <w:pPr>
              <w:ind w:left="52"/>
              <w:jc w:val="left"/>
              <w:rPr>
                <w:rFonts w:ascii="宋体" w:hAnsi="宋体"/>
              </w:rPr>
            </w:pPr>
            <w:r>
              <w:rPr>
                <w:rFonts w:ascii="宋体" w:hAnsi="宋体"/>
              </w:rPr>
              <w:t>数据库</w:t>
            </w:r>
            <w:r>
              <w:rPr>
                <w:rFonts w:hint="eastAsia" w:ascii="宋体" w:hAnsi="宋体"/>
              </w:rPr>
              <w:t>设计</w:t>
            </w:r>
          </w:p>
        </w:tc>
      </w:tr>
      <w:tr w14:paraId="7C1C1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2887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397AAF3D">
            <w:pPr>
              <w:ind w:left="52"/>
              <w:jc w:val="center"/>
              <w:rPr>
                <w:sz w:val="30"/>
                <w:szCs w:val="30"/>
              </w:rPr>
            </w:pPr>
            <w:r>
              <w:rPr>
                <w:rFonts w:hint="eastAsia" w:ascii="宋体" w:hAnsi="宋体"/>
                <w:bCs/>
              </w:rPr>
              <w:t>2月16日—2月28日</w:t>
            </w:r>
          </w:p>
        </w:tc>
        <w:tc>
          <w:tcPr>
            <w:tcW w:w="5851" w:type="dxa"/>
            <w:gridSpan w:val="3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32A1969F">
            <w:pPr>
              <w:ind w:left="52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服务端API接口设计</w:t>
            </w:r>
          </w:p>
        </w:tc>
      </w:tr>
      <w:tr w14:paraId="08B1C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2887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5C5D6BAC">
            <w:pPr>
              <w:ind w:left="52"/>
              <w:jc w:val="center"/>
              <w:rPr>
                <w:sz w:val="30"/>
                <w:szCs w:val="30"/>
              </w:rPr>
            </w:pPr>
            <w:r>
              <w:rPr>
                <w:rFonts w:hint="eastAsia" w:ascii="宋体" w:hAnsi="宋体"/>
                <w:bCs/>
              </w:rPr>
              <w:t>3月1日—3月25日</w:t>
            </w:r>
          </w:p>
        </w:tc>
        <w:tc>
          <w:tcPr>
            <w:tcW w:w="5851" w:type="dxa"/>
            <w:gridSpan w:val="3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06F88FD0">
            <w:pPr>
              <w:ind w:left="52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编码</w:t>
            </w:r>
          </w:p>
        </w:tc>
      </w:tr>
      <w:tr w14:paraId="5A87B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2887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2760CBFD">
            <w:pPr>
              <w:ind w:left="52"/>
              <w:jc w:val="center"/>
              <w:rPr>
                <w:sz w:val="30"/>
                <w:szCs w:val="30"/>
              </w:rPr>
            </w:pPr>
            <w:r>
              <w:rPr>
                <w:rFonts w:hint="eastAsia" w:ascii="宋体" w:hAnsi="宋体"/>
                <w:bCs/>
              </w:rPr>
              <w:t>3月26日—3月31日</w:t>
            </w:r>
          </w:p>
        </w:tc>
        <w:tc>
          <w:tcPr>
            <w:tcW w:w="5851" w:type="dxa"/>
            <w:gridSpan w:val="3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477E7CD4">
            <w:pPr>
              <w:ind w:left="52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系统联调，功能测试、优化</w:t>
            </w:r>
          </w:p>
        </w:tc>
      </w:tr>
      <w:tr w14:paraId="1195D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2887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24364843">
            <w:pPr>
              <w:ind w:left="52"/>
              <w:jc w:val="center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4月1日—4月8日</w:t>
            </w:r>
          </w:p>
        </w:tc>
        <w:tc>
          <w:tcPr>
            <w:tcW w:w="5851" w:type="dxa"/>
            <w:gridSpan w:val="3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517F0955">
            <w:pPr>
              <w:ind w:left="52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中期检查</w:t>
            </w:r>
          </w:p>
        </w:tc>
      </w:tr>
      <w:tr w14:paraId="37D3C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2887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3C715B25">
            <w:pPr>
              <w:ind w:left="52"/>
              <w:jc w:val="center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4月9日—4月19日</w:t>
            </w:r>
          </w:p>
        </w:tc>
        <w:tc>
          <w:tcPr>
            <w:tcW w:w="5851" w:type="dxa"/>
            <w:gridSpan w:val="3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63C280CB">
            <w:pPr>
              <w:ind w:left="52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完成论文初稿</w:t>
            </w:r>
          </w:p>
        </w:tc>
      </w:tr>
      <w:tr w14:paraId="0ECAB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2887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53021525">
            <w:pPr>
              <w:ind w:left="52"/>
              <w:jc w:val="center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4月20日—5月3日</w:t>
            </w:r>
          </w:p>
        </w:tc>
        <w:tc>
          <w:tcPr>
            <w:tcW w:w="5851" w:type="dxa"/>
            <w:gridSpan w:val="3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11F212DF">
            <w:pPr>
              <w:ind w:left="52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论文定稿</w:t>
            </w:r>
          </w:p>
        </w:tc>
      </w:tr>
      <w:tr w14:paraId="2DFFB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2887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116C210A">
            <w:pPr>
              <w:ind w:left="52"/>
              <w:jc w:val="center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5月4日—5月10日</w:t>
            </w:r>
          </w:p>
        </w:tc>
        <w:tc>
          <w:tcPr>
            <w:tcW w:w="5851" w:type="dxa"/>
            <w:gridSpan w:val="3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7C3C3D11">
            <w:pPr>
              <w:ind w:left="52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论文整改</w:t>
            </w:r>
          </w:p>
        </w:tc>
      </w:tr>
      <w:tr w14:paraId="5F4AC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2887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47148E05">
            <w:pPr>
              <w:ind w:left="52"/>
              <w:jc w:val="center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5月11日—5月17日</w:t>
            </w:r>
          </w:p>
        </w:tc>
        <w:tc>
          <w:tcPr>
            <w:tcW w:w="5851" w:type="dxa"/>
            <w:gridSpan w:val="3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7A991F18">
            <w:pPr>
              <w:ind w:left="52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预答辩</w:t>
            </w:r>
          </w:p>
        </w:tc>
      </w:tr>
      <w:tr w14:paraId="17FD4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2887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53D89604">
            <w:pPr>
              <w:ind w:left="52"/>
              <w:jc w:val="center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5月18日—5月27日</w:t>
            </w:r>
          </w:p>
        </w:tc>
        <w:tc>
          <w:tcPr>
            <w:tcW w:w="5851" w:type="dxa"/>
            <w:gridSpan w:val="3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37000CF1">
            <w:pPr>
              <w:ind w:left="52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论文评阅，完成正式答辩</w:t>
            </w:r>
          </w:p>
        </w:tc>
      </w:tr>
      <w:tr w14:paraId="15223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</w:trPr>
        <w:tc>
          <w:tcPr>
            <w:tcW w:w="4369" w:type="dxa"/>
            <w:gridSpan w:val="3"/>
            <w:tcBorders>
              <w:top w:val="single" w:color="auto" w:sz="4" w:space="0"/>
            </w:tcBorders>
          </w:tcPr>
          <w:p w14:paraId="6B61016A">
            <w:pPr>
              <w:ind w:left="52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所在系部审核意见：</w:t>
            </w:r>
          </w:p>
          <w:p w14:paraId="038024E4">
            <w:pPr>
              <w:ind w:left="52"/>
              <w:rPr>
                <w:sz w:val="28"/>
                <w:szCs w:val="28"/>
              </w:rPr>
            </w:pPr>
          </w:p>
          <w:p w14:paraId="6613E929">
            <w:pPr>
              <w:ind w:left="52"/>
              <w:rPr>
                <w:sz w:val="28"/>
                <w:szCs w:val="28"/>
              </w:rPr>
            </w:pPr>
          </w:p>
          <w:p w14:paraId="24E4BBCA">
            <w:pPr>
              <w:adjustRightInd w:val="0"/>
              <w:snapToGrid w:val="0"/>
              <w:ind w:right="600"/>
              <w:jc w:val="center"/>
              <w:rPr>
                <w:rFonts w:ascii="宋体" w:hAnsi="宋体"/>
                <w:bCs/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</w:rPr>
              <w:t>系主任签名：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宋体" w:hAnsi="宋体"/>
                <w:bCs/>
                <w:sz w:val="28"/>
                <w:szCs w:val="28"/>
                <w:u w:val="single"/>
              </w:rPr>
              <w:t xml:space="preserve"> </w:t>
            </w:r>
            <w:r>
              <w:rPr>
                <w:rFonts w:ascii="宋体" w:hAnsi="宋体"/>
                <w:bCs/>
                <w:sz w:val="28"/>
                <w:szCs w:val="28"/>
                <w:u w:val="single"/>
              </w:rPr>
              <w:t xml:space="preserve">   </w:t>
            </w:r>
          </w:p>
          <w:p w14:paraId="7604EB74">
            <w:pPr>
              <w:ind w:left="52"/>
              <w:jc w:val="right"/>
              <w:rPr>
                <w:sz w:val="30"/>
                <w:szCs w:val="30"/>
              </w:rPr>
            </w:pPr>
            <w:r>
              <w:rPr>
                <w:rFonts w:hint="eastAsia"/>
                <w:sz w:val="28"/>
                <w:szCs w:val="28"/>
              </w:rPr>
              <w:t xml:space="preserve">年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 xml:space="preserve">月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日</w:t>
            </w:r>
          </w:p>
        </w:tc>
        <w:tc>
          <w:tcPr>
            <w:tcW w:w="4369" w:type="dxa"/>
            <w:tcBorders>
              <w:top w:val="single" w:color="auto" w:sz="4" w:space="0"/>
            </w:tcBorders>
          </w:tcPr>
          <w:p w14:paraId="35C9AE63">
            <w:pPr>
              <w:ind w:left="52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学院意见：</w:t>
            </w:r>
          </w:p>
          <w:p w14:paraId="1533DF83">
            <w:pPr>
              <w:ind w:left="52"/>
              <w:rPr>
                <w:sz w:val="28"/>
                <w:szCs w:val="28"/>
              </w:rPr>
            </w:pPr>
          </w:p>
          <w:p w14:paraId="02126C60">
            <w:pPr>
              <w:ind w:left="52"/>
              <w:rPr>
                <w:sz w:val="28"/>
                <w:szCs w:val="28"/>
              </w:rPr>
            </w:pPr>
          </w:p>
          <w:p w14:paraId="17D452CE">
            <w:pPr>
              <w:adjustRightInd w:val="0"/>
              <w:snapToGrid w:val="0"/>
              <w:ind w:right="600"/>
              <w:jc w:val="center"/>
              <w:rPr>
                <w:rFonts w:ascii="宋体" w:hAnsi="宋体"/>
                <w:bCs/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</w:rPr>
              <w:t>教学院长签名：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宋体" w:hAnsi="宋体"/>
                <w:bCs/>
                <w:sz w:val="28"/>
                <w:szCs w:val="28"/>
                <w:u w:val="single"/>
              </w:rPr>
              <w:t xml:space="preserve"> </w:t>
            </w:r>
            <w:r>
              <w:rPr>
                <w:rFonts w:ascii="宋体" w:hAnsi="宋体"/>
                <w:bCs/>
                <w:sz w:val="28"/>
                <w:szCs w:val="28"/>
                <w:u w:val="single"/>
              </w:rPr>
              <w:t xml:space="preserve">   </w:t>
            </w:r>
          </w:p>
          <w:p w14:paraId="47795798">
            <w:pPr>
              <w:ind w:left="52"/>
              <w:jc w:val="right"/>
              <w:rPr>
                <w:sz w:val="30"/>
                <w:szCs w:val="30"/>
              </w:rPr>
            </w:pPr>
            <w:r>
              <w:rPr>
                <w:rFonts w:hint="eastAsia"/>
                <w:sz w:val="28"/>
                <w:szCs w:val="28"/>
              </w:rPr>
              <w:t xml:space="preserve">年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 xml:space="preserve">月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日</w:t>
            </w:r>
          </w:p>
        </w:tc>
      </w:tr>
    </w:tbl>
    <w:p w14:paraId="5D1380DF">
      <w:pPr>
        <w:rPr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1116B5"/>
    <w:multiLevelType w:val="singleLevel"/>
    <w:tmpl w:val="BB1116B5"/>
    <w:lvl w:ilvl="0" w:tentative="0">
      <w:start w:val="1"/>
      <w:numFmt w:val="decimal"/>
      <w:suff w:val="space"/>
      <w:lvlText w:val="[%1]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A02"/>
    <w:rsid w:val="001B5A02"/>
    <w:rsid w:val="00265554"/>
    <w:rsid w:val="00397AA6"/>
    <w:rsid w:val="004044F8"/>
    <w:rsid w:val="00712CE0"/>
    <w:rsid w:val="00825486"/>
    <w:rsid w:val="009012DA"/>
    <w:rsid w:val="009B75A3"/>
    <w:rsid w:val="009E2BF5"/>
    <w:rsid w:val="00A8096F"/>
    <w:rsid w:val="00E8155C"/>
    <w:rsid w:val="00EB3E69"/>
    <w:rsid w:val="063F55FB"/>
    <w:rsid w:val="119A7465"/>
    <w:rsid w:val="19800ED4"/>
    <w:rsid w:val="1ED77EEE"/>
    <w:rsid w:val="33991108"/>
    <w:rsid w:val="370C2303"/>
    <w:rsid w:val="3ADE3D6E"/>
    <w:rsid w:val="3DE23DBE"/>
    <w:rsid w:val="44C835C3"/>
    <w:rsid w:val="4B3C50F8"/>
    <w:rsid w:val="57860D20"/>
    <w:rsid w:val="58613E02"/>
    <w:rsid w:val="6ACE5505"/>
    <w:rsid w:val="6F406F48"/>
    <w:rsid w:val="795E2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/>
      <w:b/>
      <w:bCs/>
      <w:kern w:val="0"/>
      <w:sz w:val="27"/>
      <w:szCs w:val="27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Autospacing="1" w:afterAutospacing="1"/>
      <w:jc w:val="left"/>
      <w:outlineLvl w:val="3"/>
    </w:pPr>
    <w:rPr>
      <w:rFonts w:hint="eastAsia" w:ascii="宋体" w:hAnsi="宋体"/>
      <w:b/>
      <w:bCs/>
      <w:kern w:val="0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2"/>
    <w:semiHidden/>
    <w:unhideWhenUsed/>
    <w:qFormat/>
    <w:uiPriority w:val="99"/>
    <w:pPr>
      <w:jc w:val="left"/>
    </w:pPr>
  </w:style>
  <w:style w:type="paragraph" w:styleId="5">
    <w:name w:val="Body Text Indent"/>
    <w:basedOn w:val="1"/>
    <w:link w:val="18"/>
    <w:qFormat/>
    <w:uiPriority w:val="0"/>
    <w:pPr>
      <w:spacing w:line="360" w:lineRule="exact"/>
      <w:ind w:left="538" w:hanging="538" w:hangingChars="192"/>
    </w:pPr>
    <w:rPr>
      <w:sz w:val="28"/>
    </w:rPr>
  </w:style>
  <w:style w:type="paragraph" w:styleId="6">
    <w:name w:val="Balloon Text"/>
    <w:basedOn w:val="1"/>
    <w:link w:val="19"/>
    <w:qFormat/>
    <w:uiPriority w:val="99"/>
    <w:rPr>
      <w:sz w:val="18"/>
      <w:szCs w:val="18"/>
    </w:rPr>
  </w:style>
  <w:style w:type="paragraph" w:styleId="7">
    <w:name w:val="footer"/>
    <w:basedOn w:val="1"/>
    <w:link w:val="17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等线" w:hAnsi="等线" w:eastAsia="等线" w:cs="宋体"/>
      <w:sz w:val="18"/>
      <w:szCs w:val="18"/>
    </w:rPr>
  </w:style>
  <w:style w:type="paragraph" w:styleId="8">
    <w:name w:val="header"/>
    <w:basedOn w:val="1"/>
    <w:link w:val="1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等线" w:hAnsi="等线" w:eastAsia="等线" w:cs="宋体"/>
      <w:sz w:val="18"/>
      <w:szCs w:val="18"/>
    </w:rPr>
  </w:style>
  <w:style w:type="paragraph" w:styleId="9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10">
    <w:name w:val="annotation subject"/>
    <w:basedOn w:val="4"/>
    <w:next w:val="4"/>
    <w:link w:val="23"/>
    <w:semiHidden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annotation reference"/>
    <w:basedOn w:val="13"/>
    <w:semiHidden/>
    <w:unhideWhenUsed/>
    <w:uiPriority w:val="99"/>
    <w:rPr>
      <w:sz w:val="21"/>
      <w:szCs w:val="21"/>
    </w:rPr>
  </w:style>
  <w:style w:type="character" w:customStyle="1" w:styleId="16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7"/>
    <w:qFormat/>
    <w:uiPriority w:val="99"/>
    <w:rPr>
      <w:sz w:val="18"/>
      <w:szCs w:val="18"/>
    </w:rPr>
  </w:style>
  <w:style w:type="character" w:customStyle="1" w:styleId="18">
    <w:name w:val="正文文本缩进 字符"/>
    <w:basedOn w:val="13"/>
    <w:link w:val="5"/>
    <w:qFormat/>
    <w:uiPriority w:val="0"/>
    <w:rPr>
      <w:rFonts w:ascii="Times New Roman" w:hAnsi="Times New Roman" w:eastAsia="宋体" w:cs="Times New Roman"/>
      <w:sz w:val="28"/>
      <w:szCs w:val="24"/>
    </w:rPr>
  </w:style>
  <w:style w:type="character" w:customStyle="1" w:styleId="19">
    <w:name w:val="批注框文本 字符"/>
    <w:basedOn w:val="13"/>
    <w:link w:val="6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20">
    <w:name w:val="List Paragraph"/>
    <w:basedOn w:val="1"/>
    <w:link w:val="21"/>
    <w:qFormat/>
    <w:uiPriority w:val="1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21">
    <w:name w:val="列表段落 字符"/>
    <w:link w:val="20"/>
    <w:qFormat/>
    <w:locked/>
    <w:uiPriority w:val="1"/>
    <w:rPr>
      <w:rFonts w:asciiTheme="minorHAnsi" w:hAnsiTheme="minorHAnsi" w:eastAsiaTheme="minorEastAsia" w:cstheme="minorBidi"/>
      <w:kern w:val="2"/>
      <w:sz w:val="24"/>
      <w:szCs w:val="22"/>
    </w:rPr>
  </w:style>
  <w:style w:type="character" w:customStyle="1" w:styleId="22">
    <w:name w:val="批注文字 字符"/>
    <w:basedOn w:val="13"/>
    <w:link w:val="4"/>
    <w:semiHidden/>
    <w:qFormat/>
    <w:uiPriority w:val="99"/>
    <w:rPr>
      <w:kern w:val="2"/>
      <w:sz w:val="24"/>
      <w:szCs w:val="24"/>
    </w:rPr>
  </w:style>
  <w:style w:type="character" w:customStyle="1" w:styleId="23">
    <w:name w:val="批注主题 字符"/>
    <w:basedOn w:val="22"/>
    <w:link w:val="10"/>
    <w:semiHidden/>
    <w:qFormat/>
    <w:uiPriority w:val="99"/>
    <w:rPr>
      <w:b/>
      <w:bCs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08635-D618-4FBE-A767-C953DFB6C9E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3681</Words>
  <Characters>4430</Characters>
  <Lines>37</Lines>
  <Paragraphs>10</Paragraphs>
  <TotalTime>0</TotalTime>
  <ScaleCrop>false</ScaleCrop>
  <LinksUpToDate>false</LinksUpToDate>
  <CharactersWithSpaces>4746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2025-12-15T08:15:00Z</dcterms:created>
  <dc:creator>磊</dc:creator>
  <cp:lastModifiedBy>王佳齐</cp:lastModifiedBy>
  <cp:lastPrinted>2022-11-14T01:57:00Z</cp:lastPrinted>
  <dcterms:modified xsi:type="dcterms:W3CDTF">2025-12-29T03:55:17Z</dcterms:modified>
  <dc:subject>毕业设计</dc:subject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BA608E853B8D4D5082DC0742CBBE065A_13</vt:lpwstr>
  </property>
  <property fmtid="{D5CDD505-2E9C-101B-9397-08002B2CF9AE}" pid="4" name="KSOTemplateDocerSaveRecord">
    <vt:lpwstr>eyJoZGlkIjoiMzBkNjJjMTg2Yjc0N2QyNjgyNmM0MDY3YmM1N2MzNTgiLCJ1c2VySWQiOiIxNzc2MjM2OTY0In0=</vt:lpwstr>
  </property>
</Properties>
</file>