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D98D" w14:textId="77777777" w:rsidR="00635F3A" w:rsidRDefault="00635F3A" w:rsidP="008624D5">
      <w:pPr>
        <w:pStyle w:val="Heading1"/>
        <w:spacing w:line="480" w:lineRule="auto"/>
        <w:rPr>
          <w:rFonts w:ascii="Times New Roman" w:hAnsi="Times New Roman" w:cs="Times New Roman"/>
          <w:color w:val="000000" w:themeColor="text1"/>
          <w:sz w:val="24"/>
          <w:szCs w:val="24"/>
        </w:rPr>
      </w:pPr>
    </w:p>
    <w:p w14:paraId="19FF2373" w14:textId="279EC98C" w:rsidR="008624D5" w:rsidRPr="00635F3A" w:rsidRDefault="008624D5" w:rsidP="00635F3A">
      <w:pPr>
        <w:pStyle w:val="Heading1"/>
        <w:spacing w:line="480" w:lineRule="auto"/>
        <w:jc w:val="center"/>
        <w:rPr>
          <w:rFonts w:ascii="Times New Roman" w:hAnsi="Times New Roman" w:cs="Times New Roman"/>
          <w:color w:val="000000" w:themeColor="text1"/>
          <w:sz w:val="30"/>
          <w:szCs w:val="30"/>
        </w:rPr>
      </w:pPr>
      <w:r w:rsidRPr="00635F3A">
        <w:rPr>
          <w:rFonts w:ascii="Times New Roman" w:hAnsi="Times New Roman" w:cs="Times New Roman"/>
          <w:color w:val="000000" w:themeColor="text1"/>
          <w:sz w:val="30"/>
          <w:szCs w:val="30"/>
        </w:rPr>
        <w:t>Supplemental Write-Up: Customer Propensity Modeling for National City Bank</w:t>
      </w:r>
    </w:p>
    <w:p w14:paraId="3DD53A6B" w14:textId="77777777" w:rsidR="00635F3A" w:rsidRDefault="00635F3A" w:rsidP="008624D5">
      <w:pPr>
        <w:rPr>
          <w:rFonts w:cs="Times New Roman"/>
          <w:szCs w:val="24"/>
        </w:rPr>
      </w:pPr>
    </w:p>
    <w:p w14:paraId="6BFFAA5F" w14:textId="16906DE9" w:rsidR="008624D5" w:rsidRPr="00755398" w:rsidRDefault="008624D5" w:rsidP="008624D5">
      <w:pPr>
        <w:rPr>
          <w:rFonts w:cs="Times New Roman"/>
          <w:szCs w:val="24"/>
        </w:rPr>
      </w:pPr>
      <w:r w:rsidRPr="00755398">
        <w:rPr>
          <w:rFonts w:cs="Times New Roman"/>
          <w:szCs w:val="24"/>
        </w:rPr>
        <w:t>CSCI E-96</w:t>
      </w:r>
    </w:p>
    <w:p w14:paraId="4A37F62C" w14:textId="77777777" w:rsidR="008624D5" w:rsidRPr="00755398" w:rsidRDefault="008624D5" w:rsidP="008624D5">
      <w:pPr>
        <w:rPr>
          <w:rFonts w:cs="Times New Roman"/>
          <w:szCs w:val="24"/>
        </w:rPr>
      </w:pPr>
      <w:r w:rsidRPr="00755398">
        <w:rPr>
          <w:rFonts w:cs="Times New Roman"/>
          <w:szCs w:val="24"/>
        </w:rPr>
        <w:t>Won Jun Kang</w:t>
      </w:r>
    </w:p>
    <w:p w14:paraId="5FEBD2F8" w14:textId="77777777" w:rsidR="008624D5" w:rsidRDefault="008624D5" w:rsidP="008624D5">
      <w:pPr>
        <w:rPr>
          <w:rFonts w:cs="Times New Roman"/>
          <w:szCs w:val="24"/>
          <w:lang w:eastAsia="ko-KR"/>
        </w:rPr>
      </w:pPr>
      <w:r>
        <w:rPr>
          <w:rFonts w:cs="Times New Roman"/>
          <w:szCs w:val="24"/>
          <w:lang w:eastAsia="ko-KR"/>
        </w:rPr>
        <w:t>4/16/2025</w:t>
      </w:r>
    </w:p>
    <w:p w14:paraId="12BD1455" w14:textId="77777777" w:rsidR="008624D5" w:rsidRDefault="008624D5" w:rsidP="008624D5">
      <w:pPr>
        <w:rPr>
          <w:rFonts w:cs="Times New Roman"/>
          <w:szCs w:val="24"/>
          <w:lang w:eastAsia="ko-KR"/>
        </w:rPr>
      </w:pPr>
    </w:p>
    <w:p w14:paraId="217D8114" w14:textId="44A6DB1A" w:rsidR="00F732CD" w:rsidRDefault="00F732CD" w:rsidP="00F732CD">
      <w:pPr>
        <w:pStyle w:val="NormalWeb"/>
        <w:spacing w:line="480" w:lineRule="auto"/>
        <w:ind w:firstLine="720"/>
      </w:pPr>
      <w:r>
        <w:t xml:space="preserve">This report provides a comprehensive analysis of customer propensity to accept a new line of credit, leveraging internal behavioral data and external </w:t>
      </w:r>
      <w:proofErr w:type="gramStart"/>
      <w:r>
        <w:t>third</w:t>
      </w:r>
      <w:r w:rsidR="00FF2971">
        <w:t xml:space="preserve"> </w:t>
      </w:r>
      <w:r>
        <w:t>party</w:t>
      </w:r>
      <w:proofErr w:type="gramEnd"/>
      <w:r>
        <w:t xml:space="preserve"> datasets to build, validate, and deploy a predictive model. The model is designed to support targeted marketing strategies aimed at increasing conversion rates and reducing outreach inefficiencies.</w:t>
      </w:r>
    </w:p>
    <w:p w14:paraId="66CD9968" w14:textId="6663378C" w:rsidR="00F732CD" w:rsidRDefault="00F732CD" w:rsidP="00F732CD">
      <w:pPr>
        <w:pStyle w:val="NormalWeb"/>
        <w:spacing w:line="480" w:lineRule="auto"/>
        <w:ind w:firstLine="720"/>
      </w:pPr>
      <w:r>
        <w:t xml:space="preserve">We began by merging datasets from existing internal sources, including customer demographic profiles, credit performance, vehicle ownership data, and past marketing response outcomes. This data was </w:t>
      </w:r>
      <w:r w:rsidR="00FF2971">
        <w:t>then</w:t>
      </w:r>
      <w:r>
        <w:t xml:space="preserve"> cleaned to remove </w:t>
      </w:r>
      <w:proofErr w:type="gramStart"/>
      <w:r>
        <w:t>inconsistencies, and</w:t>
      </w:r>
      <w:proofErr w:type="gramEnd"/>
      <w:r>
        <w:t xml:space="preserve"> </w:t>
      </w:r>
      <w:r w:rsidR="00FF2971">
        <w:t xml:space="preserve">made </w:t>
      </w:r>
      <w:proofErr w:type="gramStart"/>
      <w:r w:rsidR="00FF2971">
        <w:t xml:space="preserve">sure </w:t>
      </w:r>
      <w:r>
        <w:t xml:space="preserve"> variables</w:t>
      </w:r>
      <w:proofErr w:type="gramEnd"/>
      <w:r>
        <w:t xml:space="preserve"> that would be unavailable or irrelevant at decision time</w:t>
      </w:r>
      <w:r w:rsidR="00FF2971">
        <w:t xml:space="preserve"> were excluded</w:t>
      </w:r>
      <w:r>
        <w:t>. For instance, columns such as call start and end times were dropped to prevent data leakage.</w:t>
      </w:r>
    </w:p>
    <w:p w14:paraId="78830D02" w14:textId="429F353A" w:rsidR="00F732CD" w:rsidRDefault="00F732CD" w:rsidP="00F732CD">
      <w:pPr>
        <w:pStyle w:val="NormalWeb"/>
        <w:spacing w:line="480" w:lineRule="auto"/>
        <w:ind w:firstLine="720"/>
      </w:pPr>
      <w:r>
        <w:t xml:space="preserve">The internal training data consisted of approximately 4,000 current customers, with over 30 predictor variables spanning digital habits, household insurance policies, vehicle attributes, education levels, and donation behaviors. We processed the data using </w:t>
      </w:r>
      <w:r>
        <w:lastRenderedPageBreak/>
        <w:t xml:space="preserve">a method called </w:t>
      </w:r>
      <w:proofErr w:type="spellStart"/>
      <w:r>
        <w:t>vtreat</w:t>
      </w:r>
      <w:proofErr w:type="spellEnd"/>
      <w:r>
        <w:t>, which prepares both numeric and categorical features for robust modeling. The final model was trained using Random Forest, a</w:t>
      </w:r>
      <w:r w:rsidR="00FF2971">
        <w:t xml:space="preserve"> model</w:t>
      </w:r>
      <w:r>
        <w:t xml:space="preserve"> well</w:t>
      </w:r>
      <w:r w:rsidR="00FF2971">
        <w:t xml:space="preserve"> </w:t>
      </w:r>
      <w:r>
        <w:t xml:space="preserve">suited for handling </w:t>
      </w:r>
      <w:proofErr w:type="spellStart"/>
      <w:proofErr w:type="gramStart"/>
      <w:r>
        <w:t>non</w:t>
      </w:r>
      <w:r w:rsidR="00FF2971">
        <w:t xml:space="preserve"> </w:t>
      </w:r>
      <w:r>
        <w:t>linear</w:t>
      </w:r>
      <w:proofErr w:type="spellEnd"/>
      <w:proofErr w:type="gramEnd"/>
      <w:r>
        <w:t xml:space="preserve"> relationships and variable importance analysis.</w:t>
      </w:r>
    </w:p>
    <w:p w14:paraId="56970AF3" w14:textId="019708ED" w:rsidR="00F732CD" w:rsidRDefault="00F732CD" w:rsidP="00F732CD">
      <w:pPr>
        <w:pStyle w:val="NormalWeb"/>
        <w:spacing w:line="480" w:lineRule="auto"/>
        <w:ind w:firstLine="720"/>
      </w:pPr>
      <w:r>
        <w:t xml:space="preserve">The performance of the model was exceptional, achieving an Area Under the Curve (AUC) of </w:t>
      </w:r>
      <w:r w:rsidR="00353F68">
        <w:t>0.97</w:t>
      </w:r>
      <w:r>
        <w:t xml:space="preserve"> on the held-out test set. This indicates </w:t>
      </w:r>
      <w:r w:rsidR="00353F68">
        <w:t>great</w:t>
      </w:r>
      <w:r>
        <w:t xml:space="preserve"> ability to distinguish between customers who accepted and those who did not accept a previous line of credit offer. To ensure this wasn’t an artifact of overfitting, we validated our approach using external data from Kaggle’s car insurance dataset, </w:t>
      </w:r>
      <w:proofErr w:type="gramStart"/>
      <w:r w:rsidR="00FF2971">
        <w:t>similar to</w:t>
      </w:r>
      <w:proofErr w:type="gramEnd"/>
      <w:r>
        <w:t xml:space="preserve"> consumer behavior patterns relevant to credit decisioning. The external validation model achieved an AUC of 0.823, supporting the internal model’s robustness and generaliza</w:t>
      </w:r>
      <w:r w:rsidR="00FF2971">
        <w:t>tion</w:t>
      </w:r>
      <w:r>
        <w:t>.</w:t>
      </w:r>
    </w:p>
    <w:p w14:paraId="7B8BE477" w14:textId="0F98F8FC" w:rsidR="00F732CD" w:rsidRDefault="00F732CD" w:rsidP="00F732CD">
      <w:pPr>
        <w:pStyle w:val="NormalWeb"/>
        <w:spacing w:line="480" w:lineRule="auto"/>
        <w:ind w:firstLine="720"/>
      </w:pPr>
      <w:r>
        <w:t>To better understand the profile of high</w:t>
      </w:r>
      <w:r w:rsidR="00FF2971">
        <w:t xml:space="preserve"> </w:t>
      </w:r>
      <w:r>
        <w:t xml:space="preserve">propensity customers, we conducted an exploratory demographic breakdown of the top 100 predicted prospects. Notably, </w:t>
      </w:r>
      <w:proofErr w:type="gramStart"/>
      <w:r>
        <w:t>the majority of</w:t>
      </w:r>
      <w:proofErr w:type="gramEnd"/>
      <w:r>
        <w:t xml:space="preserve"> these individuals were married and possessed higher levels of education, such as college or graduate degrees. Gender distribution skewed slightly female. These characteristics, combined with financial features like recent balance growth and insurance product ownership, formed strong signals in predicting acceptance behavior. This demographic insight provides marketing and product teams with </w:t>
      </w:r>
      <w:r w:rsidR="00FF2971">
        <w:t xml:space="preserve">key insights which </w:t>
      </w:r>
      <w:proofErr w:type="spellStart"/>
      <w:r w:rsidR="00FF2971">
        <w:t>ccan</w:t>
      </w:r>
      <w:proofErr w:type="spellEnd"/>
      <w:r w:rsidR="00FF2971">
        <w:t xml:space="preserve"> help</w:t>
      </w:r>
      <w:r>
        <w:t xml:space="preserve"> to tailor messaging </w:t>
      </w:r>
      <w:r w:rsidR="00FF2971">
        <w:t>during reach outs.</w:t>
      </w:r>
    </w:p>
    <w:p w14:paraId="40C8A16A" w14:textId="5052EBB2" w:rsidR="00F732CD" w:rsidRDefault="00F732CD" w:rsidP="00F732CD">
      <w:pPr>
        <w:pStyle w:val="NormalWeb"/>
        <w:spacing w:line="480" w:lineRule="auto"/>
        <w:ind w:firstLine="720"/>
      </w:pPr>
      <w:r>
        <w:t xml:space="preserve">From a business standpoint, this analysis delivers three strategic advantages. First, it identifies the top behavioral and demographic signals that predict offer acceptance, allowing marketing to focus efforts where impact will be highest. Second, it provides a clear pathway for integration into customer relationship management (CRM) systems, </w:t>
      </w:r>
      <w:r>
        <w:lastRenderedPageBreak/>
        <w:t>enabling automated, real</w:t>
      </w:r>
      <w:r w:rsidR="00FF2971">
        <w:t xml:space="preserve"> </w:t>
      </w:r>
      <w:r>
        <w:t>time targeting. Third, the external validation demonstrates our readiness to use third</w:t>
      </w:r>
      <w:r w:rsidR="00FF2971">
        <w:t xml:space="preserve"> </w:t>
      </w:r>
      <w:r>
        <w:t>party data sources for ongoing refinement and scale-up.</w:t>
      </w:r>
    </w:p>
    <w:p w14:paraId="6BE546D5" w14:textId="7266E9A3" w:rsidR="00F732CD" w:rsidRDefault="00F732CD" w:rsidP="00F732CD">
      <w:pPr>
        <w:pStyle w:val="NormalWeb"/>
        <w:spacing w:line="480" w:lineRule="auto"/>
        <w:ind w:firstLine="720"/>
      </w:pPr>
      <w:r>
        <w:t>The model was then applied to a set of 1,000 prospective customers who had not previously been targeted. Using the same data preparation and scoring pipeline, we computed the likelihood of each prospect accepting a line of credit offer. The top 100 highest</w:t>
      </w:r>
      <w:r w:rsidR="00FF2971">
        <w:t xml:space="preserve"> </w:t>
      </w:r>
      <w:r>
        <w:t>scoring individuals were selected for prioritized outreach. These prospects exhibited characteristics highly correlated with prior successful conversions, such as high digital engagement, recent balance trends, and affinity for similar financial products.</w:t>
      </w:r>
    </w:p>
    <w:p w14:paraId="55DB45B9" w14:textId="79A1CFC6" w:rsidR="00F732CD" w:rsidRDefault="00F732CD" w:rsidP="00F732CD">
      <w:pPr>
        <w:pStyle w:val="NormalWeb"/>
        <w:spacing w:line="480" w:lineRule="auto"/>
        <w:ind w:firstLine="720"/>
      </w:pPr>
      <w:r>
        <w:t>In terms of tactical implementation, these results suggest that we can reallocate marketing resources away from cold campaigns and toward high</w:t>
      </w:r>
      <w:r w:rsidR="00FF2971">
        <w:t xml:space="preserve">er </w:t>
      </w:r>
      <w:r>
        <w:t>propensity segments. Additionally, by understanding the features that contribute most to model decisions, product and design teams can optimize offerings and customize future promotions to better align with customer needs.</w:t>
      </w:r>
    </w:p>
    <w:p w14:paraId="487846D6" w14:textId="6703605E" w:rsidR="00F732CD" w:rsidRDefault="00F732CD" w:rsidP="00F732CD">
      <w:pPr>
        <w:pStyle w:val="NormalWeb"/>
        <w:spacing w:line="480" w:lineRule="auto"/>
        <w:ind w:firstLine="720"/>
      </w:pPr>
      <w:r>
        <w:t xml:space="preserve">The deliverables for this project include the full modeling code, data preparation workflow, and a CSV file containing the top 100 scored prospects. These materials are ready to be deployed into production environments, and minimal work is required to connect them to existing CRM infrastructure. With a reliable scoring system in place, the marketing team </w:t>
      </w:r>
      <w:r w:rsidR="00635F3A">
        <w:t xml:space="preserve">would be able to create a higher performing </w:t>
      </w:r>
      <w:r>
        <w:t>campaign within days.</w:t>
      </w:r>
    </w:p>
    <w:p w14:paraId="49425DC7" w14:textId="13365D1C" w:rsidR="00F732CD" w:rsidRDefault="00F732CD" w:rsidP="00F732CD">
      <w:pPr>
        <w:pStyle w:val="NormalWeb"/>
        <w:spacing w:line="480" w:lineRule="auto"/>
        <w:ind w:firstLine="720"/>
      </w:pPr>
      <w:r>
        <w:t xml:space="preserve">In summary, this project demonstrates how National City Bank can leverage predictive analytics not only to identify the best candidates for a credit line but to operationalize data-driven decision-making. This initiative aligns with broader strategic </w:t>
      </w:r>
      <w:r>
        <w:lastRenderedPageBreak/>
        <w:t xml:space="preserve">goals around customer acquisition, profitability, and personalization, and offers a blueprint for future analytic </w:t>
      </w:r>
      <w:r w:rsidR="00635F3A">
        <w:t>tools</w:t>
      </w:r>
      <w:r>
        <w:t xml:space="preserve"> across the bank.</w:t>
      </w:r>
      <w:r>
        <w:t xml:space="preserve"> </w:t>
      </w:r>
    </w:p>
    <w:p w14:paraId="3E41BE83" w14:textId="77777777" w:rsidR="00402C6C" w:rsidRDefault="00402C6C" w:rsidP="00F732CD">
      <w:pPr>
        <w:spacing w:line="480" w:lineRule="auto"/>
        <w:ind w:firstLine="720"/>
      </w:pPr>
    </w:p>
    <w:sectPr w:rsidR="00402C6C" w:rsidSect="00AD2CD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1495D" w14:textId="77777777" w:rsidR="00DF7119" w:rsidRDefault="00DF7119" w:rsidP="00F732CD">
      <w:pPr>
        <w:spacing w:after="0" w:line="240" w:lineRule="auto"/>
      </w:pPr>
      <w:r>
        <w:separator/>
      </w:r>
    </w:p>
  </w:endnote>
  <w:endnote w:type="continuationSeparator" w:id="0">
    <w:p w14:paraId="38486B5E" w14:textId="77777777" w:rsidR="00DF7119" w:rsidRDefault="00DF7119" w:rsidP="00F73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FCA4" w14:textId="77777777" w:rsidR="00DF7119" w:rsidRDefault="00DF7119" w:rsidP="00F732CD">
      <w:pPr>
        <w:spacing w:after="0" w:line="240" w:lineRule="auto"/>
      </w:pPr>
      <w:r>
        <w:separator/>
      </w:r>
    </w:p>
  </w:footnote>
  <w:footnote w:type="continuationSeparator" w:id="0">
    <w:p w14:paraId="2C9A157E" w14:textId="77777777" w:rsidR="00DF7119" w:rsidRDefault="00DF7119" w:rsidP="00F732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74"/>
    <w:rsid w:val="00265DFE"/>
    <w:rsid w:val="00316FC2"/>
    <w:rsid w:val="00353F68"/>
    <w:rsid w:val="003561CF"/>
    <w:rsid w:val="00402C6C"/>
    <w:rsid w:val="00635F3A"/>
    <w:rsid w:val="00686438"/>
    <w:rsid w:val="00732A0A"/>
    <w:rsid w:val="008624D5"/>
    <w:rsid w:val="008C4374"/>
    <w:rsid w:val="009C3F05"/>
    <w:rsid w:val="00A262E9"/>
    <w:rsid w:val="00AD2CDA"/>
    <w:rsid w:val="00DF7119"/>
    <w:rsid w:val="00F6093A"/>
    <w:rsid w:val="00F732CD"/>
    <w:rsid w:val="00FE6E01"/>
    <w:rsid w:val="00FF29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275A430"/>
  <w15:chartTrackingRefBased/>
  <w15:docId w15:val="{F1EF72C5-DDD8-AB42-BF60-E1563E8D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CDA"/>
    <w:pPr>
      <w:spacing w:after="200" w:line="276" w:lineRule="auto"/>
    </w:pPr>
    <w:rPr>
      <w:rFonts w:ascii="Times New Roman" w:hAnsi="Times New Roman"/>
      <w:kern w:val="0"/>
      <w:szCs w:val="22"/>
      <w:lang w:eastAsia="en-US"/>
      <w14:ligatures w14:val="none"/>
    </w:rPr>
  </w:style>
  <w:style w:type="paragraph" w:styleId="Heading1">
    <w:name w:val="heading 1"/>
    <w:basedOn w:val="Normal"/>
    <w:next w:val="Normal"/>
    <w:link w:val="Heading1Char"/>
    <w:uiPriority w:val="9"/>
    <w:qFormat/>
    <w:rsid w:val="008C4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374"/>
    <w:rPr>
      <w:rFonts w:eastAsiaTheme="majorEastAsia" w:cstheme="majorBidi"/>
      <w:color w:val="272727" w:themeColor="text1" w:themeTint="D8"/>
    </w:rPr>
  </w:style>
  <w:style w:type="paragraph" w:styleId="Title">
    <w:name w:val="Title"/>
    <w:basedOn w:val="Normal"/>
    <w:next w:val="Normal"/>
    <w:link w:val="TitleChar"/>
    <w:uiPriority w:val="10"/>
    <w:qFormat/>
    <w:rsid w:val="008C4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374"/>
    <w:pPr>
      <w:spacing w:before="160"/>
      <w:jc w:val="center"/>
    </w:pPr>
    <w:rPr>
      <w:i/>
      <w:iCs/>
      <w:color w:val="404040" w:themeColor="text1" w:themeTint="BF"/>
    </w:rPr>
  </w:style>
  <w:style w:type="character" w:customStyle="1" w:styleId="QuoteChar">
    <w:name w:val="Quote Char"/>
    <w:basedOn w:val="DefaultParagraphFont"/>
    <w:link w:val="Quote"/>
    <w:uiPriority w:val="29"/>
    <w:rsid w:val="008C4374"/>
    <w:rPr>
      <w:i/>
      <w:iCs/>
      <w:color w:val="404040" w:themeColor="text1" w:themeTint="BF"/>
    </w:rPr>
  </w:style>
  <w:style w:type="paragraph" w:styleId="ListParagraph">
    <w:name w:val="List Paragraph"/>
    <w:basedOn w:val="Normal"/>
    <w:uiPriority w:val="34"/>
    <w:qFormat/>
    <w:rsid w:val="008C4374"/>
    <w:pPr>
      <w:ind w:left="720"/>
      <w:contextualSpacing/>
    </w:pPr>
  </w:style>
  <w:style w:type="character" w:styleId="IntenseEmphasis">
    <w:name w:val="Intense Emphasis"/>
    <w:basedOn w:val="DefaultParagraphFont"/>
    <w:uiPriority w:val="21"/>
    <w:qFormat/>
    <w:rsid w:val="008C4374"/>
    <w:rPr>
      <w:i/>
      <w:iCs/>
      <w:color w:val="0F4761" w:themeColor="accent1" w:themeShade="BF"/>
    </w:rPr>
  </w:style>
  <w:style w:type="paragraph" w:styleId="IntenseQuote">
    <w:name w:val="Intense Quote"/>
    <w:basedOn w:val="Normal"/>
    <w:next w:val="Normal"/>
    <w:link w:val="IntenseQuoteChar"/>
    <w:uiPriority w:val="30"/>
    <w:qFormat/>
    <w:rsid w:val="008C4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374"/>
    <w:rPr>
      <w:i/>
      <w:iCs/>
      <w:color w:val="0F4761" w:themeColor="accent1" w:themeShade="BF"/>
    </w:rPr>
  </w:style>
  <w:style w:type="character" w:styleId="IntenseReference">
    <w:name w:val="Intense Reference"/>
    <w:basedOn w:val="DefaultParagraphFont"/>
    <w:uiPriority w:val="32"/>
    <w:qFormat/>
    <w:rsid w:val="008C4374"/>
    <w:rPr>
      <w:b/>
      <w:bCs/>
      <w:smallCaps/>
      <w:color w:val="0F4761" w:themeColor="accent1" w:themeShade="BF"/>
      <w:spacing w:val="5"/>
    </w:rPr>
  </w:style>
  <w:style w:type="paragraph" w:styleId="Date">
    <w:name w:val="Date"/>
    <w:basedOn w:val="Normal"/>
    <w:next w:val="Normal"/>
    <w:link w:val="DateChar"/>
    <w:uiPriority w:val="99"/>
    <w:semiHidden/>
    <w:unhideWhenUsed/>
    <w:rsid w:val="008624D5"/>
  </w:style>
  <w:style w:type="character" w:customStyle="1" w:styleId="DateChar">
    <w:name w:val="Date Char"/>
    <w:basedOn w:val="DefaultParagraphFont"/>
    <w:link w:val="Date"/>
    <w:uiPriority w:val="99"/>
    <w:semiHidden/>
    <w:rsid w:val="008624D5"/>
    <w:rPr>
      <w:rFonts w:ascii="Times New Roman" w:hAnsi="Times New Roman"/>
      <w:kern w:val="0"/>
      <w:szCs w:val="22"/>
      <w:lang w:eastAsia="en-US"/>
      <w14:ligatures w14:val="none"/>
    </w:rPr>
  </w:style>
  <w:style w:type="paragraph" w:styleId="Header">
    <w:name w:val="header"/>
    <w:basedOn w:val="Normal"/>
    <w:link w:val="HeaderChar"/>
    <w:uiPriority w:val="99"/>
    <w:unhideWhenUsed/>
    <w:rsid w:val="00F732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2CD"/>
    <w:rPr>
      <w:rFonts w:ascii="Times New Roman" w:hAnsi="Times New Roman"/>
      <w:kern w:val="0"/>
      <w:szCs w:val="22"/>
      <w:lang w:eastAsia="en-US"/>
      <w14:ligatures w14:val="none"/>
    </w:rPr>
  </w:style>
  <w:style w:type="paragraph" w:styleId="Footer">
    <w:name w:val="footer"/>
    <w:basedOn w:val="Normal"/>
    <w:link w:val="FooterChar"/>
    <w:uiPriority w:val="99"/>
    <w:unhideWhenUsed/>
    <w:rsid w:val="00F732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2CD"/>
    <w:rPr>
      <w:rFonts w:ascii="Times New Roman" w:hAnsi="Times New Roman"/>
      <w:kern w:val="0"/>
      <w:szCs w:val="22"/>
      <w:lang w:eastAsia="en-US"/>
      <w14:ligatures w14:val="none"/>
    </w:rPr>
  </w:style>
  <w:style w:type="paragraph" w:styleId="NormalWeb">
    <w:name w:val="Normal (Web)"/>
    <w:basedOn w:val="Normal"/>
    <w:uiPriority w:val="99"/>
    <w:semiHidden/>
    <w:unhideWhenUsed/>
    <w:rsid w:val="00F732CD"/>
    <w:pPr>
      <w:spacing w:before="100" w:beforeAutospacing="1" w:after="100" w:afterAutospacing="1" w:line="240" w:lineRule="auto"/>
    </w:pPr>
    <w:rPr>
      <w:rFonts w:eastAsia="Times New Roman" w:cs="Times New Roman"/>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Won Jun</dc:creator>
  <cp:keywords/>
  <dc:description/>
  <cp:lastModifiedBy>Kang, Won Jun</cp:lastModifiedBy>
  <cp:revision>4</cp:revision>
  <dcterms:created xsi:type="dcterms:W3CDTF">2025-04-15T19:03:00Z</dcterms:created>
  <dcterms:modified xsi:type="dcterms:W3CDTF">2025-04-16T22:45:00Z</dcterms:modified>
</cp:coreProperties>
</file>