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r>
        <w:t>The figure’s third column shows the average day: every day of the window aligned by hour and divided by that series’ own mean. Averaging over ninety days destroys event-driven structure, since storms keep no fixed hour, so what survives is tied to the clock. Over all 284 African basins the rainfall the model is given has a median peak-to-trough of 5.36x across the day while the model’s output has 1.17x: M1 damps the rainfall’s clock-driven cycle 4.6-fold, responding to events rather than to the time of day.</w:t>
      </w:r>
    </w:p>
    <w:p>
      <w:r>
        <w:rPr>
          <w:b/>
        </w:rPr>
        <w:t>Whether a flat average day is the CORRECT answer cannot be settled in Africa, and on the target domain it now can be: over 8,424 gauges with hourly observations the observed average day has a median peak-to-trough of 1.044x against the model’s 1.098x. The real river’s average day is nearly flat, so near-flat is right, and the model is 1.05x the observed amplitude — marginally more variable than reality, not less.</w:t>
      </w:r>
    </w:p>
    <w:p>
      <w:r>
        <w:rPr>
          <w:i/>
          <w:color w:val="595959"/>
          <w:sz w:val="17"/>
        </w:rPr>
        <w:t>This is measured on the temperate target domain rather than in Africa, and it concerns a systematic time-of-day cycle only: it says nothing about whether an individual peak arrives at the right hour, which no African observation can check.</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298260"/>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2298260"/>
                    </a:xfrm>
                    <a:prstGeom prst="rect"/>
                  </pic:spPr>
                </pic:pic>
              </a:graphicData>
            </a:graphic>
          </wp:inline>
        </w:drawing>
      </w:r>
    </w:p>
    <w:p>
      <w:pPr>
        <w:jc w:val="center"/>
      </w:pPr>
      <w:r>
        <w:rPr>
          <w:sz w:val="18"/>
        </w:rPr>
        <w:t>Figure 4-4  Target-domain hourly metrics in space, configuration v2, random split. Top row reads before / after / change: zero-shot M0 KGE, M1 after daily-only fine-tuning, and the gain on a diverging scale centred at zero. Bottom row is where the zero-shot model loses, plus how much of it is repaired: alpha = std(sim)/std(obs) and beta = mean(sim)/mean(obs), both at M0, then how much closer to 1.0 alpha moved. Both ratios are on a log scale so that halving and doubling the observed value sit equally far from the white centre; red means improvement in every change panel. The 5-fold design makes every gauge a target gauge exactly once, so every marker is a real value. Two things the aggregate numbers hide. Alpha is only partly repaired: its median moves 0.813 to 0.851 and the share of under-dispersed gauges barely shifts (71% to 72%), yet 65% of gauges move closer to 1.0 and median |log2 alpha| falls 0.464 to 0.342 -- a tightening toward 1.0 from both sides, not a shift upward. And beta looks fine only in aggregate: its median is 1.025, but the 10-90% spread runs 0.63 to 1.91, so half the gauges carry a volume bias worse than 20% in one direction or the other.</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