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number in this document is read from the result files by scripts/build_report.py. None is transcribed by hand. Where a result is missing the section says so rather than omitting it silently.</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pStyle w:val="Heading2"/>
      </w:pPr>
      <w:r>
        <w:t>4.4 Global distribution</w:t>
      </w:r>
    </w:p>
    <w:p>
      <w:pPr>
        <w:jc w:val="center"/>
      </w:pPr>
      <w:r>
        <w:drawing>
          <wp:inline xmlns:a="http://schemas.openxmlformats.org/drawingml/2006/main" xmlns:pic="http://schemas.openxmlformats.org/drawingml/2006/picture">
            <wp:extent cx="5943600" cy="3145370"/>
            <wp:docPr id="1" name="Picture 1"/>
            <wp:cNvGraphicFramePr>
              <a:graphicFrameLocks noChangeAspect="1"/>
            </wp:cNvGraphicFramePr>
            <a:graphic>
              <a:graphicData uri="http://schemas.openxmlformats.org/drawingml/2006/picture">
                <pic:pic>
                  <pic:nvPicPr>
                    <pic:cNvPr id="0" name="global_map_target.png"/>
                    <pic:cNvPicPr/>
                  </pic:nvPicPr>
                  <pic:blipFill>
                    <a:blip r:embed="rId9"/>
                    <a:stretch>
                      <a:fillRect/>
                    </a:stretch>
                  </pic:blipFill>
                  <pic:spPr>
                    <a:xfrm>
                      <a:off x="0" y="0"/>
                      <a:ext cx="5943600" cy="3145370"/>
                    </a:xfrm>
                    <a:prstGeom prst="rect"/>
                  </pic:spPr>
                </pic:pic>
              </a:graphicData>
            </a:graphic>
          </wp:inline>
        </w:drawing>
      </w:r>
    </w:p>
    <w:p>
      <w:pPr>
        <w:jc w:val="center"/>
      </w:pPr>
      <w:r>
        <w:rPr>
          <w:sz w:val="18"/>
        </w:rPr>
        <w:t>Figure 4-1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rPr>
        <w:t xml:space="preserve">Verdict: the 0.007 gap does not survive longer training. </w:t>
      </w:r>
      <w:r>
        <w:t>Taking the same paired per-gauge comparison the main table rests on — blocked M1 minus random M1 over the same 8,709 catchments — under v2 the gap is −0.0061 (52.2% of gauges worse, p = 4.2e-06) and under v3 it narrows to −0.0015 (50.5% worse, p = 4.4e-02). The narrowing is 0.0039, paired across gauges at p = 4.2e-03, and at 50.5% worse the gap is a coin flip.</w:t>
      </w:r>
    </w:p>
    <w:p>
      <w:r>
        <w:t>The pretrain side confirmed §4.8's prediction exactly: gains on the selection metric average +0.0038 for run B and +0.0066 for blocked, and the two largest per-fold gains are the two folds v2 truncated earliest (fold0 +0.0142, fold4 +0.0105). Several folds ran the full 50 epochs with their best at or near epoch 50, so even 50 remains a binding cap for them. v2 was under-trained, and unequally so. What that buys in the target domain, however, is another matter — see below.</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A-2  Three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 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 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