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6964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6964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626247"/>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626247"/>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r>
        <w:rPr>
          <w:i/>
          <w:color w:val="595959"/>
          <w:sz w:val="17"/>
        </w:rPr>
        <w:t>Why 294 and not more, since 294 against 8,843 temperate gauges looks like a filtering choice: it is not one. The global daily database holds 37,972 stations with metadata and 16,166 with a discharge time series. Of the 1,577 African entries with metadata, only 302 have a time series at all, and 294 of those are used here -- 97% of what exists. The rest cannot be scored by anyone. Africa is genuinely gauge-sparse, and that sparsity is the condition this external test exists to confront, not an artefact of how the set was assembled. The specific 294 are the test set of the continent-holdout PUB run adopted verbatim, so these numbers sit directly against that baseline's +0.279; whatever selection it applied is inherited, which is a real limitation. They are small-to-medium catchments, median area 759 km2 (19-9,839), with a median of 1,090 validation days each.</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2"/>
      </w:pPr>
      <w:r>
        <w:t>3.3b What a daily total repairs, on both domains</w:t>
      </w:r>
    </w:p>
    <w:p>
      <w:r>
        <w:t>The mechanism claim behind this whole experiment is that a 24-hour total carries magnitude information and not sub-daily timing information. It should therefore repair alpha and beta and leave r largely alone -- a falsifiable prediction, and one that can be checked twice, because Africa and the target domain differ by about a factor of four in how broken the zero-shot model 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Domain</w:t>
            </w:r>
          </w:p>
        </w:tc>
        <w:tc>
          <w:tcPr>
            <w:tcW w:type="dxa" w:w="1440"/>
          </w:tcPr>
          <w:p>
            <w:r>
              <w:t>Component</w:t>
            </w:r>
          </w:p>
        </w:tc>
        <w:tc>
          <w:tcPr>
            <w:tcW w:type="dxa" w:w="1440"/>
          </w:tcPr>
          <w:p>
            <w:r>
              <w:t>Deficit at M0</w:t>
            </w:r>
          </w:p>
        </w:tc>
        <w:tc>
          <w:tcPr>
            <w:tcW w:type="dxa" w:w="1440"/>
          </w:tcPr>
          <w:p>
            <w:r>
              <w:t>Deficit at M1</w:t>
            </w:r>
          </w:p>
        </w:tc>
        <w:tc>
          <w:tcPr>
            <w:tcW w:type="dxa" w:w="1440"/>
          </w:tcPr>
          <w:p>
            <w:r>
              <w:t>Removed</w:t>
            </w:r>
          </w:p>
        </w:tc>
        <w:tc>
          <w:tcPr>
            <w:tcW w:type="dxa" w:w="1440"/>
          </w:tcPr>
          <w:p>
            <w:r>
              <w:t>Gauges improved</w:t>
            </w:r>
          </w:p>
        </w:tc>
      </w:tr>
      <w:tr>
        <w:tc>
          <w:tcPr>
            <w:tcW w:type="dxa" w:w="1440"/>
          </w:tcPr>
          <w:p>
            <w:r>
              <w:t>target domain (temperate, hourly truth)</w:t>
            </w:r>
          </w:p>
        </w:tc>
        <w:tc>
          <w:tcPr>
            <w:tcW w:type="dxa" w:w="1440"/>
          </w:tcPr>
          <w:p>
            <w:r>
              <w:t>r (timing)</w:t>
            </w:r>
          </w:p>
        </w:tc>
        <w:tc>
          <w:tcPr>
            <w:tcW w:type="dxa" w:w="1440"/>
          </w:tcPr>
          <w:p>
            <w:r>
              <w:t>0.203</w:t>
            </w:r>
          </w:p>
        </w:tc>
        <w:tc>
          <w:tcPr>
            <w:tcW w:type="dxa" w:w="1440"/>
          </w:tcPr>
          <w:p>
            <w:r>
              <w:t>0.188</w:t>
            </w:r>
          </w:p>
        </w:tc>
        <w:tc>
          <w:tcPr>
            <w:tcW w:type="dxa" w:w="1440"/>
          </w:tcPr>
          <w:p>
            <w:r>
              <w:t>7%</w:t>
            </w:r>
          </w:p>
        </w:tc>
        <w:tc>
          <w:tcPr>
            <w:tcW w:type="dxa" w:w="1440"/>
          </w:tcPr>
          <w:p>
            <w:r>
              <w:t>59%</w:t>
            </w:r>
          </w:p>
        </w:tc>
      </w:tr>
      <w:tr>
        <w:tc>
          <w:tcPr>
            <w:tcW w:type="dxa" w:w="1440"/>
          </w:tcPr>
          <w:p>
            <w:r>
              <w:t>target domain (temperate, hourly truth)</w:t>
            </w:r>
          </w:p>
        </w:tc>
        <w:tc>
          <w:tcPr>
            <w:tcW w:type="dxa" w:w="1440"/>
          </w:tcPr>
          <w:p>
            <w:r>
              <w:t>alpha (variability)</w:t>
            </w:r>
          </w:p>
        </w:tc>
        <w:tc>
          <w:tcPr>
            <w:tcW w:type="dxa" w:w="1440"/>
          </w:tcPr>
          <w:p>
            <w:r>
              <w:t>0.464</w:t>
            </w:r>
          </w:p>
        </w:tc>
        <w:tc>
          <w:tcPr>
            <w:tcW w:type="dxa" w:w="1440"/>
          </w:tcPr>
          <w:p>
            <w:r>
              <w:t>0.342</w:t>
            </w:r>
          </w:p>
        </w:tc>
        <w:tc>
          <w:tcPr>
            <w:tcW w:type="dxa" w:w="1440"/>
          </w:tcPr>
          <w:p>
            <w:r>
              <w:t>26%</w:t>
            </w:r>
          </w:p>
        </w:tc>
        <w:tc>
          <w:tcPr>
            <w:tcW w:type="dxa" w:w="1440"/>
          </w:tcPr>
          <w:p>
            <w:r>
              <w:t>65%</w:t>
            </w:r>
          </w:p>
        </w:tc>
      </w:tr>
      <w:tr>
        <w:tc>
          <w:tcPr>
            <w:tcW w:type="dxa" w:w="1440"/>
          </w:tcPr>
          <w:p>
            <w:r>
              <w:t>target domain (temperate, hourly truth)</w:t>
            </w:r>
          </w:p>
        </w:tc>
        <w:tc>
          <w:tcPr>
            <w:tcW w:type="dxa" w:w="1440"/>
          </w:tcPr>
          <w:p>
            <w:r>
              <w:t>beta (volume)</w:t>
            </w:r>
          </w:p>
        </w:tc>
        <w:tc>
          <w:tcPr>
            <w:tcW w:type="dxa" w:w="1440"/>
          </w:tcPr>
          <w:p>
            <w:r>
              <w:t>0.280</w:t>
            </w:r>
          </w:p>
        </w:tc>
        <w:tc>
          <w:tcPr>
            <w:tcW w:type="dxa" w:w="1440"/>
          </w:tcPr>
          <w:p>
            <w:r>
              <w:t>0.211</w:t>
            </w:r>
          </w:p>
        </w:tc>
        <w:tc>
          <w:tcPr>
            <w:tcW w:type="dxa" w:w="1440"/>
          </w:tcPr>
          <w:p>
            <w:r>
              <w:t>25%</w:t>
            </w:r>
          </w:p>
        </w:tc>
        <w:tc>
          <w:tcPr>
            <w:tcW w:type="dxa" w:w="1440"/>
          </w:tcPr>
          <w:p>
            <w:r>
              <w:t>58%</w:t>
            </w:r>
          </w:p>
        </w:tc>
      </w:tr>
      <w:tr>
        <w:tc>
          <w:tcPr>
            <w:tcW w:type="dxa" w:w="1440"/>
          </w:tcPr>
          <w:p>
            <w:r>
              <w:t>Africa (external, daily truth only)</w:t>
            </w:r>
          </w:p>
        </w:tc>
        <w:tc>
          <w:tcPr>
            <w:tcW w:type="dxa" w:w="1440"/>
          </w:tcPr>
          <w:p>
            <w:r>
              <w:t>r (timing)</w:t>
            </w:r>
          </w:p>
        </w:tc>
        <w:tc>
          <w:tcPr>
            <w:tcW w:type="dxa" w:w="1440"/>
          </w:tcPr>
          <w:p>
            <w:r>
              <w:t>0.294</w:t>
            </w:r>
          </w:p>
        </w:tc>
        <w:tc>
          <w:tcPr>
            <w:tcW w:type="dxa" w:w="1440"/>
          </w:tcPr>
          <w:p>
            <w:r>
              <w:t>0.201</w:t>
            </w:r>
          </w:p>
        </w:tc>
        <w:tc>
          <w:tcPr>
            <w:tcW w:type="dxa" w:w="1440"/>
          </w:tcPr>
          <w:p>
            <w:r>
              <w:t>32%</w:t>
            </w:r>
          </w:p>
        </w:tc>
        <w:tc>
          <w:tcPr>
            <w:tcW w:type="dxa" w:w="1440"/>
          </w:tcPr>
          <w:p>
            <w:r>
              <w:t>88%</w:t>
            </w:r>
          </w:p>
        </w:tc>
      </w:tr>
      <w:tr>
        <w:tc>
          <w:tcPr>
            <w:tcW w:type="dxa" w:w="1440"/>
          </w:tcPr>
          <w:p>
            <w:r>
              <w:t>Africa (external, daily truth only)</w:t>
            </w:r>
          </w:p>
        </w:tc>
        <w:tc>
          <w:tcPr>
            <w:tcW w:type="dxa" w:w="1440"/>
          </w:tcPr>
          <w:p>
            <w:r>
              <w:t>alpha (variability)</w:t>
            </w:r>
          </w:p>
        </w:tc>
        <w:tc>
          <w:tcPr>
            <w:tcW w:type="dxa" w:w="1440"/>
          </w:tcPr>
          <w:p>
            <w:r>
              <w:t>1.209</w:t>
            </w:r>
          </w:p>
        </w:tc>
        <w:tc>
          <w:tcPr>
            <w:tcW w:type="dxa" w:w="1440"/>
          </w:tcPr>
          <w:p>
            <w:r>
              <w:t>0.394</w:t>
            </w:r>
          </w:p>
        </w:tc>
        <w:tc>
          <w:tcPr>
            <w:tcW w:type="dxa" w:w="1440"/>
          </w:tcPr>
          <w:p>
            <w:r>
              <w:t>67%</w:t>
            </w:r>
          </w:p>
        </w:tc>
        <w:tc>
          <w:tcPr>
            <w:tcW w:type="dxa" w:w="1440"/>
          </w:tcPr>
          <w:p>
            <w:r>
              <w:t>82%</w:t>
            </w:r>
          </w:p>
        </w:tc>
      </w:tr>
      <w:tr>
        <w:tc>
          <w:tcPr>
            <w:tcW w:type="dxa" w:w="1440"/>
          </w:tcPr>
          <w:p>
            <w:r>
              <w:t>Africa (external, daily truth only)</w:t>
            </w:r>
          </w:p>
        </w:tc>
        <w:tc>
          <w:tcPr>
            <w:tcW w:type="dxa" w:w="1440"/>
          </w:tcPr>
          <w:p>
            <w:r>
              <w:t>beta (volume)</w:t>
            </w:r>
          </w:p>
        </w:tc>
        <w:tc>
          <w:tcPr>
            <w:tcW w:type="dxa" w:w="1440"/>
          </w:tcPr>
          <w:p>
            <w:r>
              <w:t>1.169</w:t>
            </w:r>
          </w:p>
        </w:tc>
        <w:tc>
          <w:tcPr>
            <w:tcW w:type="dxa" w:w="1440"/>
          </w:tcPr>
          <w:p>
            <w:r>
              <w:t>0.274</w:t>
            </w:r>
          </w:p>
        </w:tc>
        <w:tc>
          <w:tcPr>
            <w:tcW w:type="dxa" w:w="1440"/>
          </w:tcPr>
          <w:p>
            <w:r>
              <w:t>77%</w:t>
            </w:r>
          </w:p>
        </w:tc>
        <w:tc>
          <w:tcPr>
            <w:tcW w:type="dxa" w:w="1440"/>
          </w:tcPr>
          <w:p>
            <w:r>
              <w:t>81%</w:t>
            </w:r>
          </w:p>
        </w:tc>
      </w:tr>
    </w:tbl>
    <w:p>
      <w:r>
        <w:rPr>
          <w:i/>
          <w:color w:val="595959"/>
          <w:sz w:val="17"/>
        </w:rPr>
        <w:t>Deficit means distance from the ideal: 1 - r for the correlation and |log2 x| for the two ratios, since 0.5 and 2.0 are equally wrong for a ratio and their arithmetic mean is not 1. The two are not in the same units, so only the fraction removed is comparable across components. Medians are taken over per-gauge distances, never as the distance of a median: |log2(median beta)| would report the target domain as unbiased because its over- and under-predicting gauges cancel.</w:t>
      </w:r>
    </w:p>
    <w:p>
      <w:r>
        <w:rPr>
          <w:b/>
        </w:rPr>
        <w:t>target domain: 25% of the magnitude deficit removed against 7% of the timing deficit, 3.4x; Africa: 72% of the magnitude deficit removed against 32% of the timing deficit, 2.3x.</w:t>
      </w:r>
    </w:p>
    <w:p>
      <w:r>
        <w:rPr>
          <w:i/>
          <w:color w:val="595959"/>
          <w:sz w:val="17"/>
        </w:rPr>
        <w:t>The prediction holds on both, and the two domains are not alike: Africa's zero-shot deficits are about four times the target domain's, and its model has never seen an African catchment. Beta is repaired most completely of all (77% in Africa), which is what a daily total should do -- it IS the volume. Alpha is repaired less (67%), because a daily total constrains variability only indirectly, and that is the same limit section 4.4 reaches from the other direction: 74% of target gauges are still under-dispersed after fine-tuning.</w:t>
      </w:r>
    </w:p>
    <w:p>
      <w:pPr>
        <w:jc w:val="center"/>
      </w:pPr>
      <w:r>
        <w:drawing>
          <wp:inline xmlns:a="http://schemas.openxmlformats.org/drawingml/2006/main" xmlns:pic="http://schemas.openxmlformats.org/drawingml/2006/picture">
            <wp:extent cx="6035040" cy="2009988"/>
            <wp:docPr id="4" name="Picture 4"/>
            <wp:cNvGraphicFramePr>
              <a:graphicFrameLocks noChangeAspect="1"/>
            </wp:cNvGraphicFramePr>
            <a:graphic>
              <a:graphicData uri="http://schemas.openxmlformats.org/drawingml/2006/picture">
                <pic:pic>
                  <pic:nvPicPr>
                    <pic:cNvPr id="0" name="fig11_component_deficits.png"/>
                    <pic:cNvPicPr/>
                  </pic:nvPicPr>
                  <pic:blipFill>
                    <a:blip r:embed="rId12"/>
                    <a:stretch>
                      <a:fillRect/>
                    </a:stretch>
                  </pic:blipFill>
                  <pic:spPr>
                    <a:xfrm>
                      <a:off x="0" y="0"/>
                      <a:ext cx="6035040" cy="2009988"/>
                    </a:xfrm>
                    <a:prstGeom prst="rect"/>
                  </pic:spPr>
                </pic:pic>
              </a:graphicData>
            </a:graphic>
          </wp:inline>
        </w:drawing>
      </w:r>
    </w:p>
    <w:p>
      <w:pPr>
        <w:jc w:val="center"/>
      </w:pPr>
      <w:r>
        <w:rPr>
          <w:sz w:val="18"/>
        </w:rPr>
        <w:t>Figure 3-3  What a daily total repairs. One axis per component, because the deficits are in different units and a shared scale would invite comparing them directly; the fraction removed, printed on each pair, is what is comparable. Open blue marker is M0, filled orange is M1, as everywhere else in this report.</w:t>
      </w:r>
    </w:p>
    <w:p>
      <w:pPr>
        <w:pStyle w:val="Heading2"/>
      </w:pPr>
      <w:r>
        <w:t>3.4 Africa at two resolutions: daily, which can be scored, and hourly, which cannot</w:t>
      </w:r>
    </w:p>
    <w:p>
      <w:r>
        <w:t>Every African number so far is daily, because African discharge is observed daily and that is the only resolution at which a score exists. Two questions follow, and they have to be kept apart. At daily resolution the model, the reanalysis and the observation can all be compared and scored. At hourly resolution there is no observation anywhere on the continent -- that absence is why Africa is the external test -- so the same three series can be compared with each other and with nothing else. Figure 3-2 is drawn as two blocks for that reason.</w:t>
      </w:r>
    </w:p>
    <w:p>
      <w:r>
        <w:t>The daily side first, where a score exists. ERA5-Land per-basin scores already existed, but from the temperate-transfer Africa run of section 3.1 over a different period, so placing them beside the in-situ M0 and M1 would have compared numbers computed on different days. scripts.africa_daily_three_way re-scores all three on the identical 320,540 basin-days over 282 basins (1983-01-04 to 1995-12-31) with the same estimator. Median KGE: ERA5-Land -0.3616, M0 +0.1143, M1 +0.5761. M1 reproduces the published +0.576 to 1e-08 per basin, which is the check that the window really is the same one.</w:t>
      </w:r>
    </w:p>
    <w:p>
      <w:r>
        <w:rPr>
          <w:b/>
        </w:rPr>
        <w:t>Paired over basins rather than pooled: M1 beats the reanalysis on 93.6% of the 282 basins and even the zero-shot M0 does on 76.2%.</w:t>
      </w:r>
    </w:p>
    <w:p>
      <w:r>
        <w:rPr>
          <w:i/>
          <w:color w:val="595959"/>
          <w:sz w:val="17"/>
        </w:rPr>
        <w:t>ERA5-Land is not uniformly poor, and the figure shows one case: on restricted_ADHI__258 its daily KGE is +0.146, because its volume over that window is close to observed (7.75 against 7.58 mm/d). What it gets wrong there is the distribution, not the total -- which is exactly what the hourly panels make visible.</w:t>
      </w:r>
    </w:p>
    <w:p>
      <w:r>
        <w:t>Now the hourly side. The models always ran hourly; the ensemble script took the mean of each day's 24 outputs and discarded them, so until now no hourly African series existed and the report had no hourly hydrograph at all. scripts.africa_hourly_series re-runs the same five folds through the same validation windows and keeps the hourly tail. It is the same models on the same days, and that is checked rather than asserted: 24 x mean(hourly) reproduces the scored daily prediction to a maximum absolute difference of 1.9e-06 mm/d for M1 and 6.7e-06 mm/d for M0 over 2,908 basin-days, which is float32 rounding.</w:t>
      </w:r>
    </w:p>
    <w:p>
      <w:r>
        <w:t>The hourly output is not a flattened daily mean. Over all 284 African basins the within-day coefficient of variation -- the standard deviation of a day’s 24 values over that day’s own mean, median over days -- is 0.1246 for M0 and 0.1053 for M1. Neither is near zero, which is what a model satisfying the daily-aggregate term by holding the day constant would produce.</w:t>
      </w:r>
    </w:p>
    <w:p>
      <w:r>
        <w:rPr>
          <w:b/>
        </w:rPr>
        <w:t>But daily-only supervision does measurably flatten it: the paired median change is -0.0192, a fall of about 15% of M0’s value, significant at Wilcoxon p = 1.7e-04 over 284 basins, and it rises in only 40% of them.</w:t>
      </w:r>
    </w:p>
    <w:p>
      <w:r>
        <w:rPr>
          <w:i/>
          <w:color w:val="595959"/>
          <w:sz w:val="17"/>
        </w:rPr>
        <w:t>This is a cost of the method that had not been measured before, and two cautions come with it. The three catchments in the figure are not representative on this point -- within-day CV rises in two of the three, the reverse of the population -- which is why the paired number is printed on the figure itself. And Africa cannot say whether the flattening is a loss: with no hourly observation anywhere on the continent, a flatter curve could equally be spurious structure being removed. The one place the question can be answered is the global target domain, where hourly truth exists; there the same step moved within-day standard deviation from 0.86x to 0.89x of observed and flashiness from 0.95x to 1.02x (section 4.2). Where it can be checked, daily-aggregate supervision moved sub-daily dispersion toward the observations.</w:t>
      </w:r>
    </w:p>
    <w:p>
      <w:r>
        <w:t>ERA5-Land is drawn beside the model in the hourly block as well, as a contrast. It cannot be a reference there. (Its daily median KGE on these basin-days is -0.3616, computed above; the -0.3336 quoted in section 3.1 is the same product scored on that section's own run and period, and both are correct for their own window.) ERA5-Land has no river routing, so the basin average is runoff generation leaving the soil column rather than water passing a gauge. On restricted_ADHI__258 (3,354 km2) its instantaneous rate reaches 199 mm/d where the daily observation peaks near 20, while its daily mean over the window is 7.75 mm/d against an observed 7.58 -- the volume is close, the distribution inside the day is not. Its mean day swings by a factor of 4.2 with a 15:00 UTC peak and an 04:00 trough, the signature of afternoon convective rainfall at 11 degrees N passed straight through to runoff, and its within-day CV over that window is 0.81 against the model's 0.042. A routed hydrograph at the outlet of a catchment that size should be smooth, which is what the model produces -- but that is a physical argument, not a measurement, and no measurement is available.</w:t>
      </w:r>
    </w:p>
    <w:p>
      <w:r>
        <w:rPr>
          <w:i/>
          <w:color w:val="595959"/>
          <w:sz w:val="17"/>
        </w:rPr>
        <w:t>Both preparation steps are verified against independently produced files. The hourly ERA5-Land increments sum to the existing daily product with correlation 1.00000000 and a maximum absolute difference of 1.5e-06 mm/d, and 0 of 8,040 increments are negative -- a wrong accumulation boundary produces large negatives at every daily reset.</w:t>
      </w:r>
    </w:p>
    <w:p>
      <w:r>
        <w:t>The figure’s third column shows the average day: every day of the window aligned by hour and divided by that series’ own mean. Averaging over ninety days destroys event-driven structure, since storms keep no fixed hour, so what survives is tied to the clock. Over all 284 African basins the rainfall the model is given has a median peak-to-trough of 5.36x across the day while the model’s output has 1.17x: M1 damps the rainfall’s clock-driven cycle 4.6-fold, responding to events rather than to the time of day.</w:t>
      </w:r>
    </w:p>
    <w:p>
      <w:r>
        <w:rPr>
          <w:b/>
        </w:rPr>
        <w:t>Whether a flat average day is the CORRECT answer cannot be settled in Africa, and on the target domain it now can be: over 8,424 gauges with hourly observations the observed average day has a median peak-to-trough of 1.044x against the model’s 1.098x. The real river’s average day is nearly flat, so near-flat is right, and the model is 1.05x the observed amplitude — marginally more variable than reality, not less.</w:t>
      </w:r>
    </w:p>
    <w:p>
      <w:r>
        <w:rPr>
          <w:i/>
          <w:color w:val="595959"/>
          <w:sz w:val="17"/>
        </w:rPr>
        <w:t>This is measured on the temperate target domain rather than in Africa, and it concerns a systematic time-of-day cycle only: it says nothing about whether an individual peak arrives at the right hour, which no African observation can check.</w:t>
      </w:r>
    </w:p>
    <w:p>
      <w:pPr>
        <w:jc w:val="center"/>
      </w:pPr>
      <w:r>
        <w:drawing>
          <wp:inline xmlns:a="http://schemas.openxmlformats.org/drawingml/2006/main" xmlns:pic="http://schemas.openxmlformats.org/drawingml/2006/picture">
            <wp:extent cx="6217920" cy="4600677"/>
            <wp:docPr id="5" name="Picture 5"/>
            <wp:cNvGraphicFramePr>
              <a:graphicFrameLocks noChangeAspect="1"/>
            </wp:cNvGraphicFramePr>
            <a:graphic>
              <a:graphicData uri="http://schemas.openxmlformats.org/drawingml/2006/picture">
                <pic:pic>
                  <pic:nvPicPr>
                    <pic:cNvPr id="0" name="fig10_africa_hourly.png"/>
                    <pic:cNvPicPr/>
                  </pic:nvPicPr>
                  <pic:blipFill>
                    <a:blip r:embed="rId13"/>
                    <a:stretch>
                      <a:fillRect/>
                    </a:stretch>
                  </pic:blipFill>
                  <pic:spPr>
                    <a:xfrm>
                      <a:off x="0" y="0"/>
                      <a:ext cx="6217920" cy="4600677"/>
                    </a:xfrm>
                    <a:prstGeom prst="rect"/>
                  </pic:spPr>
                </pic:pic>
              </a:graphicData>
            </a:graphic>
          </wp:inline>
        </w:drawing>
      </w:r>
    </w:p>
    <w:p>
      <w:pPr>
        <w:jc w:val="center"/>
      </w:pPr>
      <w:r>
        <w:rPr>
          <w:sz w:val="18"/>
        </w:rPr>
        <w:t>Figure 3-2  Africa at two resolutions, kept apart because only one of them can be scored. Left block, DAILY: the observation, our sMTS-LSTM in both states (M0 zero-shot, M1 after African daily fine-tuning) and ERA5-Land runoff, all at the resolution African discharge is measured at, over the 90-day window with the largest observed flow volume in the validation period -- chosen by that rule rather than by eye. Every line here is scored against the observation and each panel prints those scores. Right block, HOURLY: the same three predictions with no observation, because none exists for any African catchment; nothing here can be scored, only compared between series. The middle panel is a 10-day window around the largest event, hourly values drawn as the daily rate they imply (mm/h x 24) so the vertical scale means the same thing in both blocks. The right panel aligns every day of the 90-day window by hour of day and divides each series by its own mean, on a shared logarithmic scale: a flat line at 1.0 means no systematic dependence on the clock, and the printed factor is peak-to-trough. The model departs from flat by 5-31%, ERA5-Land by 4 to 15 times, peaking at 15:00 UTC -- afternoon convective rainfall passed straight through to runoff by a scheme with no river routing. Configuration v2 throughout (hourly look-back 336 h, forget-gate initialisation 3), which matters because Chapter 3 reports both v1 and v2. One warning the figure cannot carry itself: these three catchments are the REVERSE of the population on sub-daily variability -- within-day CV rises in two of the three, while over all 284 African basins it falls, in 60% of them. Read the panels for hydrograph shape and the paired numbers above for the population. Source: outputs/v2_africa_hourly/.</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554847"/>
            <wp:docPr id="6" name="Picture 6"/>
            <wp:cNvGraphicFramePr>
              <a:graphicFrameLocks noChangeAspect="1"/>
            </wp:cNvGraphicFramePr>
            <a:graphic>
              <a:graphicData uri="http://schemas.openxmlformats.org/drawingml/2006/picture">
                <pic:pic>
                  <pic:nvPicPr>
                    <pic:cNvPr id="0" name="fig02_gain_drivers.png"/>
                    <pic:cNvPicPr/>
                  </pic:nvPicPr>
                  <pic:blipFill>
                    <a:blip r:embed="rId14"/>
                    <a:stretch>
                      <a:fillRect/>
                    </a:stretch>
                  </pic:blipFill>
                  <pic:spPr>
                    <a:xfrm>
                      <a:off x="0" y="0"/>
                      <a:ext cx="5852160" cy="2554847"/>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455170"/>
            <wp:docPr id="7" name="Picture 7"/>
            <wp:cNvGraphicFramePr>
              <a:graphicFrameLocks noChangeAspect="1"/>
            </wp:cNvGraphicFramePr>
            <a:graphic>
              <a:graphicData uri="http://schemas.openxmlformats.org/drawingml/2006/picture">
                <pic:pic>
                  <pic:nvPicPr>
                    <pic:cNvPr id="0" name="fig08_intraday_shape.png"/>
                    <pic:cNvPicPr/>
                  </pic:nvPicPr>
                  <pic:blipFill>
                    <a:blip r:embed="rId15"/>
                    <a:stretch>
                      <a:fillRect/>
                    </a:stretch>
                  </pic:blipFill>
                  <pic:spPr>
                    <a:xfrm>
                      <a:off x="0" y="0"/>
                      <a:ext cx="5852160" cy="2455170"/>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5209917"/>
            <wp:docPr id="8" name="Picture 8"/>
            <wp:cNvGraphicFramePr>
              <a:graphicFrameLocks noChangeAspect="1"/>
            </wp:cNvGraphicFramePr>
            <a:graphic>
              <a:graphicData uri="http://schemas.openxmlformats.org/drawingml/2006/picture">
                <pic:pic>
                  <pic:nvPicPr>
                    <pic:cNvPr id="0" name="fig05_metric_disagreement.png"/>
                    <pic:cNvPicPr/>
                  </pic:nvPicPr>
                  <pic:blipFill>
                    <a:blip r:embed="rId16"/>
                    <a:stretch>
                      <a:fillRect/>
                    </a:stretch>
                  </pic:blipFill>
                  <pic:spPr>
                    <a:xfrm>
                      <a:off x="0" y="0"/>
                      <a:ext cx="5852160" cy="5209917"/>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3450886"/>
            <wp:docPr id="9" name="Picture 9"/>
            <wp:cNvGraphicFramePr>
              <a:graphicFrameLocks noChangeAspect="1"/>
            </wp:cNvGraphicFramePr>
            <a:graphic>
              <a:graphicData uri="http://schemas.openxmlformats.org/drawingml/2006/picture">
                <pic:pic>
                  <pic:nvPicPr>
                    <pic:cNvPr id="0" name="fig09_global_map.png"/>
                    <pic:cNvPicPr/>
                  </pic:nvPicPr>
                  <pic:blipFill>
                    <a:blip r:embed="rId17"/>
                    <a:stretch>
                      <a:fillRect/>
                    </a:stretch>
                  </pic:blipFill>
                  <pic:spPr>
                    <a:xfrm>
                      <a:off x="0" y="0"/>
                      <a:ext cx="5943600" cy="3450886"/>
                    </a:xfrm>
                    <a:prstGeom prst="rect"/>
                  </pic:spPr>
                </pic:pic>
              </a:graphicData>
            </a:graphic>
          </wp:inline>
        </w:drawing>
      </w:r>
    </w:p>
    <w:p>
      <w:pPr>
        <w:jc w:val="center"/>
      </w:pPr>
      <w:r>
        <w:rPr>
          <w:sz w:val="18"/>
        </w:rPr>
        <w:t>Figure 4-4  Where the experiment stands, in one frame. A 4x3 matrix: columns are M0, M1 and their difference; rows are KGE and its three components. The first two columns of a row share a scale, so the pair can be compared by eye. Small dots are the 8,843 target gauges, scored against HOURLY observations -- Phase I's premise SIMULATED, since their hourly data exists and is withheld. Large outlined dots are the 282 African basins, scored against DAILY observations -- the same premise GENUINE, since no African catchment has hourly discharge at all. Same pretrained models and the same daily-only fine-tuning in both, so M0 and M1 mean structurally the same thing; only the observation the score is computed against differs, which is why the two are never pooled into one median and why the markers differ. Alpha and beta are drawn on a log scale, so halving and doubling the observed value sit equally far from the white centre. Panels: (a) KGE at M0, gauges 0.527 and basins 0.114; (b) KGE at M1, 0.626 and 0.576; (c) the difference M1 - M0, median +0.062 and +0.409, removing 21% and 52% of the deficit.  (d) r at M0, gauges 0.800 and basins 0.706; (e) r at M1, 0.815 and 0.799; (f) the difference M1 - M0, median +0.005 and +0.080, removing 7% and 32% of the deficit.  (g) alpha at M0, gauges 0.808 and basins 0.440; (h) alpha at M1, 0.845 and 0.830; (i) the difference M1 - M0, median +0.037 and +0.333, removing 26% and 67% of the deficit.  (j) beta at M0, gauges 1.020 and basins 0.475; (k) beta at M1, 0.995 and 0.953; (l) the difference M1 - M0, median -0.019 and +0.455, removing 26% and 76% of the deficit.  In the difference column the sign is the verdict for KGE and r, where larger is better, but NOT for alpha and beta, whose ideal is 1.0: an increase helps a gauge below it and hurts one above it. Row (l) shows this directly -- the gauges' median difference is negative while a quarter of their deficit is removed, because beta started above 1 and moved down toward it. The deficit fraction, not the sign, is what means better or worse. Africa carries the argument: worst at M0, largest gain, close to the gauges by M1; and the rows give the mechanism, since a daily total removes far more of the volume and variability deficits than of the timing one -- which is what a daily total can and cannot carry.</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399527"/>
            <wp:docPr id="10" name="Picture 10"/>
            <wp:cNvGraphicFramePr>
              <a:graphicFrameLocks noChangeAspect="1"/>
            </wp:cNvGraphicFramePr>
            <a:graphic>
              <a:graphicData uri="http://schemas.openxmlformats.org/drawingml/2006/picture">
                <pic:pic>
                  <pic:nvPicPr>
                    <pic:cNvPr id="0" name="fig04_agency_recovery.png"/>
                    <pic:cNvPicPr/>
                  </pic:nvPicPr>
                  <pic:blipFill>
                    <a:blip r:embed="rId18"/>
                    <a:stretch>
                      <a:fillRect/>
                    </a:stretch>
                  </pic:blipFill>
                  <pic:spPr>
                    <a:xfrm>
                      <a:off x="0" y="0"/>
                      <a:ext cx="5852160" cy="2399527"/>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4.6b Random splitting also overstates the precision, not only the level</w:t>
      </w:r>
    </w:p>
    <w:p>
      <w:r>
        <w:t>Everything above concerns the LEVEL of the score. Random splitting misleads a second way: it understates how much the answer moves when the region moves.</w:t>
      </w:r>
    </w:p>
    <w:p>
      <w:r>
        <w:rPr>
          <w:b/>
          <w:sz w:val="18"/>
        </w:rPr>
        <w:t>Table 4-11  Per-fold M1, the quantity the main table averages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Fold</w:t>
            </w:r>
          </w:p>
        </w:tc>
        <w:tc>
          <w:tcPr>
            <w:tcW w:type="dxa" w:w="1728"/>
          </w:tcPr>
          <w:p>
            <w:r>
              <w:rPr>
                <w:b/>
                <w:sz w:val="17"/>
              </w:rPr>
              <w:t>Random</w:t>
            </w:r>
          </w:p>
        </w:tc>
        <w:tc>
          <w:tcPr>
            <w:tcW w:type="dxa" w:w="1728"/>
          </w:tcPr>
          <w:p>
            <w:r>
              <w:rPr>
                <w:b/>
                <w:sz w:val="17"/>
              </w:rPr>
              <w:t>Blocked</w:t>
            </w:r>
          </w:p>
        </w:tc>
      </w:tr>
      <w:tr>
        <w:tc>
          <w:tcPr>
            <w:tcW w:type="dxa" w:w="2016"/>
          </w:tcPr>
          <w:p>
            <w:pPr>
              <w:jc w:val="center"/>
            </w:pPr>
            <w:r>
              <w:rPr>
                <w:sz w:val="17"/>
              </w:rPr>
              <w:t>0</w:t>
            </w:r>
          </w:p>
        </w:tc>
        <w:tc>
          <w:tcPr>
            <w:tcW w:type="dxa" w:w="1728"/>
          </w:tcPr>
          <w:p>
            <w:pPr>
              <w:jc w:val="center"/>
            </w:pPr>
            <w:r>
              <w:rPr>
                <w:sz w:val="17"/>
              </w:rPr>
              <w:t>0.6297</w:t>
            </w:r>
          </w:p>
        </w:tc>
        <w:tc>
          <w:tcPr>
            <w:tcW w:type="dxa" w:w="1728"/>
          </w:tcPr>
          <w:p>
            <w:pPr>
              <w:jc w:val="center"/>
            </w:pPr>
            <w:r>
              <w:rPr>
                <w:sz w:val="17"/>
              </w:rPr>
              <w:t>0.6720</w:t>
            </w:r>
          </w:p>
        </w:tc>
      </w:tr>
      <w:tr>
        <w:tc>
          <w:tcPr>
            <w:tcW w:type="dxa" w:w="2016"/>
          </w:tcPr>
          <w:p>
            <w:pPr>
              <w:jc w:val="center"/>
            </w:pPr>
            <w:r>
              <w:rPr>
                <w:sz w:val="17"/>
              </w:rPr>
              <w:t>1</w:t>
            </w:r>
          </w:p>
        </w:tc>
        <w:tc>
          <w:tcPr>
            <w:tcW w:type="dxa" w:w="1728"/>
          </w:tcPr>
          <w:p>
            <w:pPr>
              <w:jc w:val="center"/>
            </w:pPr>
            <w:r>
              <w:rPr>
                <w:sz w:val="17"/>
              </w:rPr>
              <w:t>0.6242</w:t>
            </w:r>
          </w:p>
        </w:tc>
        <w:tc>
          <w:tcPr>
            <w:tcW w:type="dxa" w:w="1728"/>
          </w:tcPr>
          <w:p>
            <w:pPr>
              <w:jc w:val="center"/>
            </w:pPr>
            <w:r>
              <w:rPr>
                <w:sz w:val="17"/>
              </w:rPr>
              <w:t>0.5688</w:t>
            </w:r>
          </w:p>
        </w:tc>
      </w:tr>
      <w:tr>
        <w:tc>
          <w:tcPr>
            <w:tcW w:type="dxa" w:w="2016"/>
          </w:tcPr>
          <w:p>
            <w:pPr>
              <w:jc w:val="center"/>
            </w:pPr>
            <w:r>
              <w:rPr>
                <w:sz w:val="17"/>
              </w:rPr>
              <w:t>2</w:t>
            </w:r>
          </w:p>
        </w:tc>
        <w:tc>
          <w:tcPr>
            <w:tcW w:type="dxa" w:w="1728"/>
          </w:tcPr>
          <w:p>
            <w:pPr>
              <w:jc w:val="center"/>
            </w:pPr>
            <w:r>
              <w:rPr>
                <w:sz w:val="17"/>
              </w:rPr>
              <w:t>0.6237</w:t>
            </w:r>
          </w:p>
        </w:tc>
        <w:tc>
          <w:tcPr>
            <w:tcW w:type="dxa" w:w="1728"/>
          </w:tcPr>
          <w:p>
            <w:pPr>
              <w:jc w:val="center"/>
            </w:pPr>
            <w:r>
              <w:rPr>
                <w:sz w:val="17"/>
              </w:rPr>
              <w:t>0.6424</w:t>
            </w:r>
          </w:p>
        </w:tc>
      </w:tr>
      <w:tr>
        <w:tc>
          <w:tcPr>
            <w:tcW w:type="dxa" w:w="2016"/>
          </w:tcPr>
          <w:p>
            <w:pPr>
              <w:jc w:val="center"/>
            </w:pPr>
            <w:r>
              <w:rPr>
                <w:sz w:val="17"/>
              </w:rPr>
              <w:t>3</w:t>
            </w:r>
          </w:p>
        </w:tc>
        <w:tc>
          <w:tcPr>
            <w:tcW w:type="dxa" w:w="1728"/>
          </w:tcPr>
          <w:p>
            <w:pPr>
              <w:jc w:val="center"/>
            </w:pPr>
            <w:r>
              <w:rPr>
                <w:sz w:val="17"/>
              </w:rPr>
              <w:t>0.6307</w:t>
            </w:r>
          </w:p>
        </w:tc>
        <w:tc>
          <w:tcPr>
            <w:tcW w:type="dxa" w:w="1728"/>
          </w:tcPr>
          <w:p>
            <w:pPr>
              <w:jc w:val="center"/>
            </w:pPr>
            <w:r>
              <w:rPr>
                <w:sz w:val="17"/>
              </w:rPr>
              <w:t>0.6302</w:t>
            </w:r>
          </w:p>
        </w:tc>
      </w:tr>
      <w:tr>
        <w:tc>
          <w:tcPr>
            <w:tcW w:type="dxa" w:w="2016"/>
          </w:tcPr>
          <w:p>
            <w:pPr>
              <w:jc w:val="center"/>
            </w:pPr>
            <w:r>
              <w:rPr>
                <w:sz w:val="17"/>
              </w:rPr>
              <w:t>4</w:t>
            </w:r>
          </w:p>
        </w:tc>
        <w:tc>
          <w:tcPr>
            <w:tcW w:type="dxa" w:w="1728"/>
          </w:tcPr>
          <w:p>
            <w:pPr>
              <w:jc w:val="center"/>
            </w:pPr>
            <w:r>
              <w:rPr>
                <w:sz w:val="17"/>
              </w:rPr>
              <w:t>0.6304</w:t>
            </w:r>
          </w:p>
        </w:tc>
        <w:tc>
          <w:tcPr>
            <w:tcW w:type="dxa" w:w="1728"/>
          </w:tcPr>
          <w:p>
            <w:pPr>
              <w:jc w:val="center"/>
            </w:pPr>
            <w:r>
              <w:rPr>
                <w:sz w:val="17"/>
              </w:rPr>
              <w:t>0.5914</w:t>
            </w:r>
          </w:p>
        </w:tc>
      </w:tr>
      <w:tr>
        <w:tc>
          <w:tcPr>
            <w:tcW w:type="dxa" w:w="2016"/>
          </w:tcPr>
          <w:p>
            <w:pPr>
              <w:jc w:val="center"/>
            </w:pPr>
            <w:r>
              <w:rPr>
                <w:sz w:val="17"/>
              </w:rPr>
              <w:t>Mean</w:t>
            </w:r>
          </w:p>
        </w:tc>
        <w:tc>
          <w:tcPr>
            <w:tcW w:type="dxa" w:w="1728"/>
          </w:tcPr>
          <w:p>
            <w:pPr>
              <w:jc w:val="center"/>
            </w:pPr>
            <w:r>
              <w:rPr>
                <w:sz w:val="17"/>
              </w:rPr>
              <w:t>0.6277</w:t>
            </w:r>
          </w:p>
        </w:tc>
        <w:tc>
          <w:tcPr>
            <w:tcW w:type="dxa" w:w="1728"/>
          </w:tcPr>
          <w:p>
            <w:pPr>
              <w:jc w:val="center"/>
            </w:pPr>
            <w:r>
              <w:rPr>
                <w:sz w:val="17"/>
              </w:rPr>
              <w:t>0.6210</w:t>
            </w:r>
          </w:p>
        </w:tc>
      </w:tr>
      <w:tr>
        <w:tc>
          <w:tcPr>
            <w:tcW w:type="dxa" w:w="2016"/>
          </w:tcPr>
          <w:p>
            <w:pPr>
              <w:jc w:val="center"/>
            </w:pPr>
            <w:r>
              <w:rPr>
                <w:sz w:val="17"/>
              </w:rPr>
              <w:t>Standard deviation</w:t>
            </w:r>
          </w:p>
        </w:tc>
        <w:tc>
          <w:tcPr>
            <w:tcW w:type="dxa" w:w="1728"/>
          </w:tcPr>
          <w:p>
            <w:pPr>
              <w:jc w:val="center"/>
            </w:pPr>
            <w:r>
              <w:rPr>
                <w:sz w:val="17"/>
              </w:rPr>
              <w:t>0.0035</w:t>
            </w:r>
          </w:p>
        </w:tc>
        <w:tc>
          <w:tcPr>
            <w:tcW w:type="dxa" w:w="1728"/>
          </w:tcPr>
          <w:p>
            <w:pPr>
              <w:jc w:val="center"/>
            </w:pPr>
            <w:r>
              <w:rPr>
                <w:sz w:val="17"/>
              </w:rPr>
              <w:t>0.0411</w:t>
            </w:r>
          </w:p>
        </w:tc>
      </w:tr>
      <w:tr>
        <w:tc>
          <w:tcPr>
            <w:tcW w:type="dxa" w:w="2016"/>
          </w:tcPr>
          <w:p>
            <w:pPr>
              <w:jc w:val="center"/>
            </w:pPr>
            <w:r>
              <w:rPr>
                <w:sz w:val="17"/>
              </w:rPr>
              <w:t>Range</w:t>
            </w:r>
          </w:p>
        </w:tc>
        <w:tc>
          <w:tcPr>
            <w:tcW w:type="dxa" w:w="1728"/>
          </w:tcPr>
          <w:p>
            <w:pPr>
              <w:jc w:val="center"/>
            </w:pPr>
            <w:r>
              <w:rPr>
                <w:sz w:val="17"/>
              </w:rPr>
              <w:t>0.0069</w:t>
            </w:r>
          </w:p>
        </w:tc>
        <w:tc>
          <w:tcPr>
            <w:tcW w:type="dxa" w:w="1728"/>
          </w:tcPr>
          <w:p>
            <w:pPr>
              <w:jc w:val="center"/>
            </w:pPr>
            <w:r>
              <w:rPr>
                <w:sz w:val="17"/>
              </w:rPr>
              <w:t>0.1033</w:t>
            </w:r>
          </w:p>
        </w:tc>
      </w:tr>
    </w:tbl>
    <w:p/>
    <w:p>
      <w:r>
        <w:rPr>
          <w:b/>
        </w:rPr>
        <w:t xml:space="preserve">The two means differ by 0.007, while the blocked split's own fold-to-fold range is 0.1033 -- fifteen times that difference. </w:t>
      </w:r>
      <w:r>
        <w:t>Its fold-level standard deviation is 11.8x the random split's (Levene p = 0.034); the same ratio for M0 is 3.3x and is not significant (p = 0.256). Five folds per split makes a variance test weak, so this is suggestive rather than settled.</w:t>
      </w:r>
    </w:p>
    <w:p>
      <w:r>
        <w:t>In practice: under random splitting the five folds land inside a 0.0069 band, which reads as a stable number. Under blocked splitting the same quantity spans 0.1033. Anyone deploying on a region with no hourly gauges faces one fold, not the five-fold mean, so the honest statement is about 0.62 give or take 0.04 rather than 0.628 give or take 0.004. Random splitting deflates the uncertainty by an order of magnitude, and for a decision about trusting the model in a data-sparse region the uncertainty matters more than the mean.</w:t>
      </w:r>
    </w:p>
    <w:p>
      <w:r>
        <w:t>This also explains the early-stopping asymmetry in §4.8 rather than leaving it as an artefact. Blocked folds carry a jitterier source-validation curve (median epoch-to-epoch change 0.0068 against 0.0060) and a far wider spread of best epochs (14-30 against 23-28). Random splitting leaves near-duplicate gauges on both sides, so its validation metric averages over fewer independent catchments than its gauge count suggests, and the resulting smoothness belongs to the split rather than to convergence. The blocked curve is not worse behaved -- it is missing a layer of false smoothness.</w:t>
      </w:r>
    </w:p>
    <w:p>
      <w:r>
        <w:rPr>
          <w:i/>
          <w:color w:val="595959"/>
          <w:sz w:val="17"/>
        </w:rPr>
        <w:t>One confound this design cannot remove: blocked folds are different geographic regions, so part of the spread is that regions genuinely differ in difficulty rather than that extrapolation is uncertain. The practical conclusion survives -- if the deployment target is one region, its difficulty is what the user faces -- but the spread is not a pure measure of extrapolation uncertainty.</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11" name="Picture 11"/>
            <wp:cNvGraphicFramePr>
              <a:graphicFrameLocks noChangeAspect="1"/>
            </wp:cNvGraphicFramePr>
            <a:graphic>
              <a:graphicData uri="http://schemas.openxmlformats.org/drawingml/2006/picture">
                <pic:pic>
                  <pic:nvPicPr>
                    <pic:cNvPr id="0" name="fig06_convergence.png"/>
                    <pic:cNvPicPr/>
                  </pic:nvPicPr>
                  <pic:blipFill>
                    <a:blip r:embed="rId19"/>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