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r>
        <w:rPr>
          <w:b/>
          <w:sz w:val="19"/>
        </w:rPr>
        <w:t>状态说明（2026-08-15）：</w:t>
      </w:r>
      <w:r>
        <w:rPr>
          <w:sz w:val="19"/>
        </w:rPr>
        <w:t>本报告全部数值均在缺少 initial_forget_bias 的情况下产生。Gauch 等人已发表的 MTS-LSTM 将其设为 3，而本实现及其所依据的 100 站参考实现均无此项。基础配置现已设为 3——它属于已发表方法的组成部分，而非调参旋钮；若要精确复现本报告数值，需将其设回 null。fold 1 搜索正在分离其单独效应（g03_forgetbias_H72、g04_forgetbias_H168），之后将带遗忘门、并结合搜索中明确更优的超参，对核心对比做一次性重跑。本报告的对比类结论不受影响（所有运行使用同一初始化），可能变动的是绝对水平，以及把 α 解释为根本天花板这一点。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两条数据路径与两套划分</w:t>
      </w:r>
    </w:p>
    <w:p>
      <w:r>
        <w:rPr>
          <w:b/>
          <w:sz w:val="18"/>
        </w:rPr>
        <w:t>表 2-1　目标域小时 KGE（跨站中位数，配对）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随机划分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i/>
          <w:color w:val="595959"/>
          <w:sz w:val="17"/>
        </w:rPr>
        <w:t>注：前两行为全小时评估集上的站点配对统计；后两行取自迁移日志的中位数之差，两种估计量不同，不可混用。空间分块的零样本 M0 比随机划分低 0.128（五折同向，−0.091 至 −0.191），即随机划分下约四分之一的小时技巧来自源域中留存的水文近邻。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2-2　源域回放比例扫描（五折均值）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0.5992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</w:tbl>
    <w:p/>
    <w:p>
      <w:r>
        <w:rPr>
          <w:i/>
          <w:color w:val="595959"/>
          <w:sz w:val="17"/>
        </w:rPr>
        <w:t>注：本表源域 Δ 为中位数之差；按站点配对的中位数为 −0.1064（无回放）与 −0.0668（0.25），两种估计量数值不同，引用时勿混用。回放把源域 batch 连同其真实小时标签混回微调。这不是泄漏——实验前提隐藏的是目标站的小时观测，源域小时数据正是阶段 1 训练所用。0.25 一档在两个域上均优于无回放，五折两指标全部同向。机制为阻尼过度重标定：无回放时 6.25% 的站从欠离散被推过 α = 1.2变成过离散，回放将其压至 2.09%。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+0.0287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+0.0270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+0.0253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0.6026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+0.0314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+0.0292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+0.0210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0.3419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+0.0305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0.7584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+0.0504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0.8365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0.5896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+0.0084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0.8888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0.1941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0.0572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19.3155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21.3677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1.11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2.02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8,132（91.8%），纯偶然期望约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8,117（91.6%）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3,712（41.9%） / 4,405（49.7%）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-0.00019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+0.0214，p = nan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0.2302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+0.0331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0.7812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0.3782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+0.0151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0.2827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+0.2179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0.8665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一个尚未解决的保留：遗忘门初始化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站参考实现均未包含这一项——偏离的是原论文，而非两个实验之间。本报告全部结果都是在缺少该项的情况下产生的。</w:t>
      </w:r>
    </w:p>
    <w:p>
      <w:r>
        <w:t>这对欠离散这一结论尤其关键：遗忘门半闭时，365 步的日分支会让细胞状态在到达状态交接点之前衰减，积雪与地下水这类长记忆信号因而到不了小时分支。其预期症状恰好就是退化解诊断测到的现象——M0 的日间变化远远不足，而日内抖动过量 3.1 倍。</w:t>
      </w:r>
    </w:p>
    <w:p>
      <w:r>
        <w:rPr>
          <w:b/>
        </w:rPr>
        <w:t>因此本报告称为“天花板”的部分，可能是一个缺失组件而非固有限制。fold 1 搜索中的 g03_forgetbias_H72 与 g04_forgetbias_H168 固定小时窗口、只改遗忘门，正是为分离二者而设。在其返回之前，§4 与 §5 关于 α 的论述应读作“α 是本文所训练模型的主导缺陷”，而非关于该架构本身的论断。</w:t>
      </w:r>
    </w:p>
    <w:p>
      <w:r>
        <w:t>对比类结论不受影响：基线、run A、run B、空间分块、各档回放与非洲全部使用同一套初始化，故 ΔKGE、随机与分块之差、回放比例扫描、非洲增益均成立。可能变动的是绝对水平，以及把 α 解释为根本限制这一点。</w:t>
      </w:r>
    </w:p>
    <w:p>
      <w:pPr>
        <w:pStyle w:val="Heading2"/>
      </w:pPr>
      <w:r>
        <w:t>4.6 空间分块的跌幅不是折构成造成的（逐站配对）</w:t>
      </w:r>
    </w:p>
    <w:p>
      <w:r>
        <w:t>空间分块必然使折构成不均衡（30 个机构×折组合中 6 个为空），因此“M0 下降”会被质疑为两套划分打分的是不同的流域组合。5 折设计恰好能回答这个质疑：每个站在两套划分里各当过一次目标站，因此可以逐站配对，构成差异从构造上被固定。</w:t>
      </w:r>
    </w:p>
    <w:p>
      <w:r>
        <w:rPr>
          <w:b/>
          <w:sz w:val="18"/>
        </w:rPr>
        <w:t>表 4-6　随机划分 vs 空间分块，逐站配对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统计量</w:t>
            </w:r>
          </w:p>
        </w:tc>
        <w:tc>
          <w:tcPr>
            <w:tcW w:type="dxa" w:w="576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配对流域数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中位 KGE 随机 → 分块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0.5396 → 0.4185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中位数之差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-0.1212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逐站配对中位跌幅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sz w:val="17"/>
              </w:rPr>
              <w:t>-0.0780（65.6% 的站变差，p=6.9e-224）</w:t>
            </w:r>
          </w:p>
        </w:tc>
      </w:tr>
    </w:tbl>
    <w:p/>
    <w:p>
      <w:r>
        <w:rPr>
          <w:i/>
          <w:color w:val="595959"/>
          <w:sz w:val="17"/>
        </w:rPr>
        <w:t>注：两者是不同估计量，本文其他处引用过中位数之差；配对值更严格，应作为头条数字。</w:t>
      </w:r>
    </w:p>
    <w:p>
      <w:r>
        <w:rPr>
          <w:b/>
          <w:sz w:val="18"/>
        </w:rPr>
        <w:t>表 4-7　按来源机构分层的配对跌幅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机构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随机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分块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配对跌幅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变差占比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BOMAustralia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1,607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58.8%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CAMELSH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5,047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0.4794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66.4%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Germany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61.4%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Japan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690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0.5697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-0.1205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73.8%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0.5922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0.4504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-0.1337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69.1%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LamaHIce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0.3039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0.1018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-0.2457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69.9%</w:t>
            </w:r>
          </w:p>
        </w:tc>
      </w:tr>
    </w:tbl>
    <w:p/>
    <w:p>
      <w:r>
        <w:rPr>
          <w:b/>
        </w:rPr>
        <w:t>六家机构无一例外全部下降——这是构成假象无法产生的结果，因此“折构成变化”这一替代解释被排除。</w:t>
      </w:r>
    </w:p>
    <w:p>
      <w:r>
        <w:t>跨机构的跌幅差异本身也是一项发现：对空间邻近的依赖程度与台网密度成反比。美国贡献 5,767 个站，分块后源域中仍有大量可比流域，跌幅最小（−0.066）；冰岛只有 73 个站且地理孤立，整块移除后源域中几乎没有相似流域，跌幅达 −0.246，接近四倍。台网稀疏处随机划分的乐观偏差最严重——而那恰恰是本方法最想服务的地区。</w:t>
      </w:r>
    </w:p>
    <w:p>
      <w:pPr>
        <w:pStyle w:val="Heading1"/>
      </w:pPr>
      <w:r>
        <w:t>5. 结论</w:t>
      </w:r>
    </w:p>
    <w:p>
      <w:pPr>
        <w:pStyle w:val="ListNumber"/>
      </w:pPr>
      <w:r>
        <w:t>一、日聚合监督不破坏小时时相能力。跨两条数据路径、两套站点划分、三档回放比例以及一个训练中完全未出现的大洲，r 在变差的站里当元凶的比例始终只有 7.7%–10.1%，中位 Δr 在 −0.006 至 +0.008 之间。源域学到的小时动力学在只见日目标的微调下能够存活。</w:t>
      </w:r>
    </w:p>
    <w:p>
      <w:pPr>
        <w:pStyle w:val="ListNumber"/>
      </w:pPr>
      <w:r>
        <w:t>二、日聚合监督带来的是标定改善而非精度改善。它把水量（1.01 倍）、方差比 α、日内形状都修得更接近观测，KGE 中位提升 +0.021（p = 4e-33），但以绝对误差衡量，变差的站多于改善的站（49.7% vs 41.9%）。报告时必须写明这一区分。</w:t>
      </w:r>
    </w:p>
    <w:p>
      <w:pPr>
        <w:pStyle w:val="ListNumber"/>
      </w:pPr>
      <w:r>
        <w:t>三、增益不因缺少邻近小时站而衰减。最近可训练邻居从 2.5 km 到 211 km，零样本技巧从 0.60 掉到 0.34，而增益始终 0.019–0.031；空间分块下增益反而更大（+0.071 vs +0.045）；非洲上最大（+0.165）。这对数据稀疏地区的适用性是有利证据。</w:t>
      </w:r>
    </w:p>
    <w:p>
      <w:pPr>
        <w:pStyle w:val="ListNumber"/>
      </w:pPr>
      <w:r>
        <w:t>四、随机划分显著高估区域外推能力。空间分块使零样本 M0 下降 0.128（五折同向），即随机划分下约四分之一的小时技巧来自源域中留存的水文近邻，而非基于流域属性的泛化。</w:t>
      </w:r>
    </w:p>
    <w:p>
      <w:pPr>
        <w:pStyle w:val="ListNumber"/>
      </w:pPr>
      <w:r>
        <w:t>五、本文所训练模型的主要性能瓶颈是欠离散，且在迁移之前就已存在。M0 时 76.6% 的站 α &lt; 1，方差项独占 KGE 亏损的 59.4%；跨域越远越严重（run A 0.72、run B 0.86、非洲 0.16）。该瓶颈比迁移损失大一个数量级，是后续最值得投入的方向——但其中有多少来自缺失的遗忘门初始化尚未确定，见 §4.5。</w:t>
      </w:r>
    </w:p>
    <w:p>
      <w:pPr>
        <w:pStyle w:val="ListNumber"/>
      </w:pPr>
      <w:r>
        <w:t>六、源域回放能同时改善两个域。0.25 一档在目标域（+0.0449→+0.0643）与源域（−0.1064→−0.0668）上均优于无回放，五折两指标全部同向；机制是阻尼过度重标定，把过冲站从 6.25% 压到 2.09%。</w:t>
      </w:r>
    </w:p>
    <w:p>
      <w:pPr>
        <w:pStyle w:val="Heading1"/>
      </w:pPr>
      <w:r>
        <w:t>6. 已知局限与应对</w:t>
      </w:r>
    </w:p>
    <w:p>
      <w:r>
        <w:t>以下四条是本工作已识别、且预计会被审稿人首先质疑的问题。逐条给出现状、已做的量化，以及是否需要补充实验。</w:t>
      </w:r>
    </w:p>
    <w:p>
      <w:pPr>
        <w:pStyle w:val="Heading2"/>
      </w:pPr>
      <w:r>
        <w:t>6.1 时间划分为两段而非三段</w:t>
      </w:r>
    </w:p>
    <w:p>
      <w:r>
        <w:t>现状：每站按自身记录时序 70%/30% 切分，报告的是验证期内与早停集不相交的留出样本，而非时间上独立的测试期。PLAN 原定三段（train 2000–2012 / val 2013–2015 / test 2016–2020），实际未采用，原因是预备批次本身即按 0.7/0.3 切分，run B 沿用同一划分以保证两条数据路径可比。</w:t>
      </w:r>
    </w:p>
    <w:p>
      <w:r>
        <w:t>已量化的影响：跨折统计，最优 epoch 相对末轮的增益仅 +0.0063（随机划分）与 +0.0036（分块划分），后十轮极差 0.014–0.017。即使早停完全“看穿”验证期，可得收益上限约 0.006 KGE，比本文所报效应（0.078 / 0.064 / 0.165）低一到两个数量级。</w:t>
      </w:r>
    </w:p>
    <w:p>
      <w:r>
        <w:t>分数字看：目标域 M0、M1 及其差不受影响——迁移阶段的早停只使用目标域训练期留出集上的日聚合 KGE，目标域验证期从未参与选择；受影响的是源域 STEP 3 数字，其选择与报告使用同站同期。应对：如实表述为“验证期留出样本”，不称 test；源域退化数字标注偏乐观。补充实验非必要，若审稿人坚持，只需对最终配置重做一次三段划分。</w:t>
      </w:r>
    </w:p>
    <w:p>
      <w:pPr>
        <w:pStyle w:val="Heading2"/>
      </w:pPr>
      <w:r>
        <w:t>6.2 空间分块的折构成不均衡</w:t>
      </w:r>
    </w:p>
    <w:p>
      <w:r>
        <w:t>现状：空间分块必然使折构成不均衡（30 个机构×折组合中 6 个为空，美国站占比在折间从 40% 到 73%）。去掉近邻必然去掉该区域，这是方法的固有代价，无法通过调整块数消除（块数从 60 增到 240 时，隔离度从 140 km 降到 64 km，而构成均衡度只是相应改善）。</w:t>
      </w:r>
    </w:p>
    <w:p>
      <w:r>
        <w:rPr>
          <w:b/>
        </w:rPr>
        <w:t>应对：已通过逐站配对排除（见 §4.6）。</w:t>
      </w:r>
      <w:r>
        <w:t>同一批 8,709 个流域在两套划分中各当过一次目标站，配对比较使构成差异从构造上被固定；六家机构内部无一例外全部下降。因此该混淆已被排除，无需补充实验。</w:t>
      </w:r>
    </w:p>
    <w:p>
      <w:pPr>
        <w:pStyle w:val="Heading2"/>
      </w:pPr>
      <w:r>
        <w:t>6.3 KGE 改善而绝对误差略微变差</w:t>
      </w:r>
    </w:p>
    <w:p>
      <w:r>
        <w:t>现状：站级配对检验显示，BH-FDR 校正后 91.6% 的站变化显著，但方向分裂——以绝对误差衡量，变差的站（49.7%）多于改善的站（41.9%），全站中位误差变化 −0.00019 mm/h。KGE 变好的站占 54.6%，误差变小的站仅 46.5%，两者同向的站仅 67.5%。</w:t>
      </w:r>
    </w:p>
    <w:p>
      <w:r>
        <w:t>这不是缺陷而是指标选择的必然后果：提高 α（预测方差比）会改善 KGE，而绝对误差在预测更靠近条件中位数时最小，两者要求相反。日聚合监督使水文过程线更接近观测的水量（1.01 倍）、方差比与日内形状，但不提升逐点精度。</w:t>
      </w:r>
    </w:p>
    <w:p>
      <w:r>
        <w:rPr>
          <w:b/>
        </w:rPr>
        <w:t>应对：主结论一律表述为“标定改善”而非“精度改善”，并同时报告两个指标。主动交代优于被发现，且这一区分本身对读者有价值。</w:t>
      </w:r>
    </w:p>
    <w:p>
      <w:pPr>
        <w:pStyle w:val="Heading2"/>
      </w:pPr>
      <w:r>
        <w:t>6.4 非洲实验所用协议不是最强形态</w:t>
      </w:r>
    </w:p>
    <w:p>
      <w:r>
        <w:t>现状：本文的非洲评估是把在温带目标站上微调过的模型套用到非洲流域。而非洲这 294 个流域“有日观测、无小时观测”，恰恰就是 Phase I 前提的自然发生形态，因此更强的实验是直接在非洲日观测上微调、再在非洲留出期评估。</w:t>
      </w:r>
    </w:p>
    <w:p>
      <w:r>
        <w:t>这是方法学上的弱点而非数据限制——非洲日观测已经具备（282/294 个流域在强迫覆盖期内有超过 365 天观测，中位 3,926 天）。未做的原因是迁移流程尚需支持把非洲流域作为目标域。</w:t>
      </w:r>
    </w:p>
    <w:p>
      <w:r>
        <w:rPr>
          <w:b/>
        </w:rPr>
        <w:t>应对：建议补做。代价为一次迁移训练（约 1 小时，复用已有预训练权重），不需重新预训练。在补做之前，现有非洲结果应表述为“温带微调模型的跨大洲外推”，而非“Phase I 方法在非洲的验证”。</w:t>
      </w:r>
    </w:p>
    <w:p>
      <w:pPr>
        <w:pStyle w:val="Heading1"/>
      </w:pPr>
      <w:r>
        <w:t>7. 其它未完成项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initial_forget_bias 在本报告全部运行中均未实现（见 §4.5）。对比结论不受影响，绝对水平与 α 的解释可能受影响；fold 1 搜索正在直接检验这一项。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