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3.4 What the hourly output actually looks like in Africa</w:t>
      </w:r>
    </w:p>
    <w:p>
      <w:r>
        <w:t>Every African number in this chapter is daily, because African discharge is observed daily and that is the only resolution at which a score exists. The models still run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runoff, already the physical baseline in the daily comparison at a median KGE of -0.3336, is drawn beside the model as an hourly contrast. It cannot be a reference.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5852160" cy="3818380"/>
            <wp:docPr id="4" name="Picture 4"/>
            <wp:cNvGraphicFramePr>
              <a:graphicFrameLocks noChangeAspect="1"/>
            </wp:cNvGraphicFramePr>
            <a:graphic>
              <a:graphicData uri="http://schemas.openxmlformats.org/drawingml/2006/picture">
                <pic:pic>
                  <pic:nvPicPr>
                    <pic:cNvPr id="0" name="fig10_africa_hourly.png"/>
                    <pic:cNvPicPr/>
                  </pic:nvPicPr>
                  <pic:blipFill>
                    <a:blip r:embed="rId12"/>
                    <a:stretch>
                      <a:fillRect/>
                    </a:stretch>
                  </pic:blipFill>
                  <pic:spPr>
                    <a:xfrm>
                      <a:off x="0" y="0"/>
                      <a:ext cx="5852160" cy="3818380"/>
                    </a:xfrm>
                    <a:prstGeom prst="rect"/>
                  </pic:spPr>
                </pic:pic>
              </a:graphicData>
            </a:graphic>
          </wp:inline>
        </w:drawing>
      </w:r>
    </w:p>
    <w:p>
      <w:pPr>
        <w:jc w:val="center"/>
      </w:pPr>
      <w:r>
        <w:rPr>
          <w:sz w:val="18"/>
        </w:rPr>
        <w:t>Figure 3-2  Hourly runoff underneath the daily African score, for the same three catchments as Figure 3-1. Left: the 90-day window with the largest observed flow volume in the validation period, chosen by that rule rather than by eye. Middle: a 7-day zoom on the largest event in it. Right: the mean shape of a day, each series divided by its own mean over the window, on a shared logarithmic scale so the three rows are comparable -- the model's mean day departs from flat by 5-31%, ERA5-Land's by a factor of 4 to 15. Hourly values are drawn as the daily rate they imply (mm/h x 24) so all four series share one axis; the observation is a step because a daily total is genuinely all that was measured. The vertical axis of the left and middle panels follows the observation and the model, and ERA5-Land's peak is stated in text where it exceeds them. Source: outputs/v2_africa_hourly/ and basin_hourly_runoff.csv.gz.</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5" name="Picture 5"/>
            <wp:cNvGraphicFramePr>
              <a:graphicFrameLocks noChangeAspect="1"/>
            </wp:cNvGraphicFramePr>
            <a:graphic>
              <a:graphicData uri="http://schemas.openxmlformats.org/drawingml/2006/picture">
                <pic:pic>
                  <pic:nvPicPr>
                    <pic:cNvPr id="0" name="fig02_gain_drivers.png"/>
                    <pic:cNvPicPr/>
                  </pic:nvPicPr>
                  <pic:blipFill>
                    <a:blip r:embed="rId13"/>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6" name="Picture 6"/>
            <wp:cNvGraphicFramePr>
              <a:graphicFrameLocks noChangeAspect="1"/>
            </wp:cNvGraphicFramePr>
            <a:graphic>
              <a:graphicData uri="http://schemas.openxmlformats.org/drawingml/2006/picture">
                <pic:pic>
                  <pic:nvPicPr>
                    <pic:cNvPr id="0" name="fig08_intraday_shape.png"/>
                    <pic:cNvPicPr/>
                  </pic:nvPicPr>
                  <pic:blipFill>
                    <a:blip r:embed="rId14"/>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7" name="Picture 7"/>
            <wp:cNvGraphicFramePr>
              <a:graphicFrameLocks noChangeAspect="1"/>
            </wp:cNvGraphicFramePr>
            <a:graphic>
              <a:graphicData uri="http://schemas.openxmlformats.org/drawingml/2006/picture">
                <pic:pic>
                  <pic:nvPicPr>
                    <pic:cNvPr id="0" name="fig05_metric_disagreement.png"/>
                    <pic:cNvPicPr/>
                  </pic:nvPicPr>
                  <pic:blipFill>
                    <a:blip r:embed="rId15"/>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8" name="Picture 8"/>
            <wp:cNvGraphicFramePr>
              <a:graphicFrameLocks noChangeAspect="1"/>
            </wp:cNvGraphicFramePr>
            <a:graphic>
              <a:graphicData uri="http://schemas.openxmlformats.org/drawingml/2006/picture">
                <pic:pic>
                  <pic:nvPicPr>
                    <pic:cNvPr id="0" name="fig09_global_map.png"/>
                    <pic:cNvPicPr/>
                  </pic:nvPicPr>
                  <pic:blipFill>
                    <a:blip r:embed="rId16"/>
                    <a:stretch>
                      <a:fillRect/>
                    </a:stretch>
                  </pic:blipFill>
                  <pic:spPr>
                    <a:xfrm>
                      <a:off x="0" y="0"/>
                      <a:ext cx="5943600" cy="3145370"/>
                    </a:xfrm>
                    <a:prstGeom prst="rect"/>
                  </pic:spPr>
                </pic:pic>
              </a:graphicData>
            </a:graphic>
          </wp:inline>
        </w:drawing>
      </w:r>
    </w:p>
    <w:p>
      <w:pPr>
        <w:jc w:val="center"/>
      </w:pPr>
      <w:r>
        <w:rPr>
          <w:sz w:val="18"/>
        </w:rPr>
        <w:t>Figure 4-4  Target-domain hourly metrics in space, configuration v2.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9" name="Picture 9"/>
            <wp:cNvGraphicFramePr>
              <a:graphicFrameLocks noChangeAspect="1"/>
            </wp:cNvGraphicFramePr>
            <a:graphic>
              <a:graphicData uri="http://schemas.openxmlformats.org/drawingml/2006/picture">
                <pic:pic>
                  <pic:nvPicPr>
                    <pic:cNvPr id="0" name="fig04_agency_recovery.png"/>
                    <pic:cNvPicPr/>
                  </pic:nvPicPr>
                  <pic:blipFill>
                    <a:blip r:embed="rId17"/>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0" name="Picture 10"/>
            <wp:cNvGraphicFramePr>
              <a:graphicFrameLocks noChangeAspect="1"/>
            </wp:cNvGraphicFramePr>
            <a:graphic>
              <a:graphicData uri="http://schemas.openxmlformats.org/drawingml/2006/picture">
                <pic:pic>
                  <pic:nvPicPr>
                    <pic:cNvPr id="0" name="fig06_convergence.png"/>
                    <pic:cNvPicPr/>
                  </pic:nvPicPr>
                  <pic:blipFill>
                    <a:blip r:embed="rId18"/>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