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4" name="Picture 4"/>
            <wp:cNvGraphicFramePr>
              <a:graphicFrameLocks noChangeAspect="1"/>
            </wp:cNvGraphicFramePr>
            <a:graphic>
              <a:graphicData uri="http://schemas.openxmlformats.org/drawingml/2006/picture">
                <pic:pic>
                  <pic:nvPicPr>
                    <pic:cNvPr id="0" name="fig02_gain_drivers.png"/>
                    <pic:cNvPicPr/>
                  </pic:nvPicPr>
                  <pic:blipFill>
                    <a:blip r:embed="rId12"/>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5" name="Picture 5"/>
            <wp:cNvGraphicFramePr>
              <a:graphicFrameLocks noChangeAspect="1"/>
            </wp:cNvGraphicFramePr>
            <a:graphic>
              <a:graphicData uri="http://schemas.openxmlformats.org/drawingml/2006/picture">
                <pic:pic>
                  <pic:nvPicPr>
                    <pic:cNvPr id="0" name="fig08_intraday_shape.png"/>
                    <pic:cNvPicPr/>
                  </pic:nvPicPr>
                  <pic:blipFill>
                    <a:blip r:embed="rId13"/>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6" name="Picture 6"/>
            <wp:cNvGraphicFramePr>
              <a:graphicFrameLocks noChangeAspect="1"/>
            </wp:cNvGraphicFramePr>
            <a:graphic>
              <a:graphicData uri="http://schemas.openxmlformats.org/drawingml/2006/picture">
                <pic:pic>
                  <pic:nvPicPr>
                    <pic:cNvPr id="0" name="fig05_metric_disagreement.png"/>
                    <pic:cNvPicPr/>
                  </pic:nvPicPr>
                  <pic:blipFill>
                    <a:blip r:embed="rId14"/>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3145370"/>
            <wp:docPr id="7" name="Picture 7"/>
            <wp:cNvGraphicFramePr>
              <a:graphicFrameLocks noChangeAspect="1"/>
            </wp:cNvGraphicFramePr>
            <a:graphic>
              <a:graphicData uri="http://schemas.openxmlformats.org/drawingml/2006/picture">
                <pic:pic>
                  <pic:nvPicPr>
                    <pic:cNvPr id="0" name="fig09_global_map.png"/>
                    <pic:cNvPicPr/>
                  </pic:nvPicPr>
                  <pic:blipFill>
                    <a:blip r:embed="rId15"/>
                    <a:stretch>
                      <a:fillRect/>
                    </a:stretch>
                  </pic:blipFill>
                  <pic:spPr>
                    <a:xfrm>
                      <a:off x="0" y="0"/>
                      <a:ext cx="5943600" cy="3145370"/>
                    </a:xfrm>
                    <a:prstGeom prst="rect"/>
                  </pic:spPr>
                </pic:pic>
              </a:graphicData>
            </a:graphic>
          </wp:inline>
        </w:drawing>
      </w:r>
    </w:p>
    <w:p>
      <w:pPr>
        <w:jc w:val="center"/>
      </w:pPr>
      <w:r>
        <w:rPr>
          <w:sz w:val="18"/>
        </w:rPr>
        <w:t>Figure 4-4  Target-domain hourly metrics in space, configuration v2. Top left, zero-shot M0 KGE; top right, M1 after fine-tuning; bottom left, the gain M1 − M0 on a diverging scale centred at zero; bottom right, α at M0 centred at 1.0. The 5-fold design makes every gauge a target gauge exactly once, so every marker is a real value.</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8" name="Picture 8"/>
            <wp:cNvGraphicFramePr>
              <a:graphicFrameLocks noChangeAspect="1"/>
            </wp:cNvGraphicFramePr>
            <a:graphic>
              <a:graphicData uri="http://schemas.openxmlformats.org/drawingml/2006/picture">
                <pic:pic>
                  <pic:nvPicPr>
                    <pic:cNvPr id="0" name="fig04_agency_recovery.png"/>
                    <pic:cNvPicPr/>
                  </pic:nvPicPr>
                  <pic:blipFill>
                    <a:blip r:embed="rId16"/>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9" name="Picture 9"/>
            <wp:cNvGraphicFramePr>
              <a:graphicFrameLocks noChangeAspect="1"/>
            </wp:cNvGraphicFramePr>
            <a:graphic>
              <a:graphicData uri="http://schemas.openxmlformats.org/drawingml/2006/picture">
                <pic:pic>
                  <pic:nvPicPr>
                    <pic:cNvPr id="0" name="fig06_convergence.png"/>
                    <pic:cNvPicPr/>
                  </pic:nvPicPr>
                  <pic:blipFill>
                    <a:blip r:embed="rId17"/>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