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3.3b What a daily total repairs, on both domains</w:t>
      </w:r>
    </w:p>
    <w:p>
      <w:r>
        <w:t>The mechanism claim behind this whole experiment is that a 24-hour total carries magnitude information and not sub-daily timing information. It should therefore repair alpha and beta and leave r largely alone -- a falsifiable prediction, and one that can be checked twice, because Africa and the target domain differ by about a factor of four in how broken the zero-shot model is.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Domain</w:t>
            </w:r>
          </w:p>
        </w:tc>
        <w:tc>
          <w:tcPr>
            <w:tcW w:type="dxa" w:w="1440"/>
          </w:tcPr>
          <w:p>
            <w:r>
              <w:t>Component</w:t>
            </w:r>
          </w:p>
        </w:tc>
        <w:tc>
          <w:tcPr>
            <w:tcW w:type="dxa" w:w="1440"/>
          </w:tcPr>
          <w:p>
            <w:r>
              <w:t>Deficit at M0</w:t>
            </w:r>
          </w:p>
        </w:tc>
        <w:tc>
          <w:tcPr>
            <w:tcW w:type="dxa" w:w="1440"/>
          </w:tcPr>
          <w:p>
            <w:r>
              <w:t>Deficit at M1</w:t>
            </w:r>
          </w:p>
        </w:tc>
        <w:tc>
          <w:tcPr>
            <w:tcW w:type="dxa" w:w="1440"/>
          </w:tcPr>
          <w:p>
            <w:r>
              <w:t>Removed</w:t>
            </w:r>
          </w:p>
        </w:tc>
        <w:tc>
          <w:tcPr>
            <w:tcW w:type="dxa" w:w="1440"/>
          </w:tcPr>
          <w:p>
            <w:r>
              <w:t>Gauges improved</w:t>
            </w:r>
          </w:p>
        </w:tc>
      </w:tr>
      <w:tr>
        <w:tc>
          <w:tcPr>
            <w:tcW w:type="dxa" w:w="1440"/>
          </w:tcPr>
          <w:p>
            <w:r>
              <w:t>target domain (temperate, hourly truth)</w:t>
            </w:r>
          </w:p>
        </w:tc>
        <w:tc>
          <w:tcPr>
            <w:tcW w:type="dxa" w:w="1440"/>
          </w:tcPr>
          <w:p>
            <w:r>
              <w:t>r (timing)</w:t>
            </w:r>
          </w:p>
        </w:tc>
        <w:tc>
          <w:tcPr>
            <w:tcW w:type="dxa" w:w="1440"/>
          </w:tcPr>
          <w:p>
            <w:r>
              <w:t>0.203</w:t>
            </w:r>
          </w:p>
        </w:tc>
        <w:tc>
          <w:tcPr>
            <w:tcW w:type="dxa" w:w="1440"/>
          </w:tcPr>
          <w:p>
            <w:r>
              <w:t>0.188</w:t>
            </w:r>
          </w:p>
        </w:tc>
        <w:tc>
          <w:tcPr>
            <w:tcW w:type="dxa" w:w="1440"/>
          </w:tcPr>
          <w:p>
            <w:r>
              <w:t>7%</w:t>
            </w:r>
          </w:p>
        </w:tc>
        <w:tc>
          <w:tcPr>
            <w:tcW w:type="dxa" w:w="1440"/>
          </w:tcPr>
          <w:p>
            <w:r>
              <w:t>59%</w:t>
            </w:r>
          </w:p>
        </w:tc>
      </w:tr>
      <w:tr>
        <w:tc>
          <w:tcPr>
            <w:tcW w:type="dxa" w:w="1440"/>
          </w:tcPr>
          <w:p>
            <w:r>
              <w:t>target domain (temperate, hourly truth)</w:t>
            </w:r>
          </w:p>
        </w:tc>
        <w:tc>
          <w:tcPr>
            <w:tcW w:type="dxa" w:w="1440"/>
          </w:tcPr>
          <w:p>
            <w:r>
              <w:t>alpha (variability)</w:t>
            </w:r>
          </w:p>
        </w:tc>
        <w:tc>
          <w:tcPr>
            <w:tcW w:type="dxa" w:w="1440"/>
          </w:tcPr>
          <w:p>
            <w:r>
              <w:t>0.464</w:t>
            </w:r>
          </w:p>
        </w:tc>
        <w:tc>
          <w:tcPr>
            <w:tcW w:type="dxa" w:w="1440"/>
          </w:tcPr>
          <w:p>
            <w:r>
              <w:t>0.342</w:t>
            </w:r>
          </w:p>
        </w:tc>
        <w:tc>
          <w:tcPr>
            <w:tcW w:type="dxa" w:w="1440"/>
          </w:tcPr>
          <w:p>
            <w:r>
              <w:t>26%</w:t>
            </w:r>
          </w:p>
        </w:tc>
        <w:tc>
          <w:tcPr>
            <w:tcW w:type="dxa" w:w="1440"/>
          </w:tcPr>
          <w:p>
            <w:r>
              <w:t>65%</w:t>
            </w:r>
          </w:p>
        </w:tc>
      </w:tr>
      <w:tr>
        <w:tc>
          <w:tcPr>
            <w:tcW w:type="dxa" w:w="1440"/>
          </w:tcPr>
          <w:p>
            <w:r>
              <w:t>target domain (temperate, hourly truth)</w:t>
            </w:r>
          </w:p>
        </w:tc>
        <w:tc>
          <w:tcPr>
            <w:tcW w:type="dxa" w:w="1440"/>
          </w:tcPr>
          <w:p>
            <w:r>
              <w:t>beta (volume)</w:t>
            </w:r>
          </w:p>
        </w:tc>
        <w:tc>
          <w:tcPr>
            <w:tcW w:type="dxa" w:w="1440"/>
          </w:tcPr>
          <w:p>
            <w:r>
              <w:t>0.280</w:t>
            </w:r>
          </w:p>
        </w:tc>
        <w:tc>
          <w:tcPr>
            <w:tcW w:type="dxa" w:w="1440"/>
          </w:tcPr>
          <w:p>
            <w:r>
              <w:t>0.211</w:t>
            </w:r>
          </w:p>
        </w:tc>
        <w:tc>
          <w:tcPr>
            <w:tcW w:type="dxa" w:w="1440"/>
          </w:tcPr>
          <w:p>
            <w:r>
              <w:t>25%</w:t>
            </w:r>
          </w:p>
        </w:tc>
        <w:tc>
          <w:tcPr>
            <w:tcW w:type="dxa" w:w="1440"/>
          </w:tcPr>
          <w:p>
            <w:r>
              <w:t>58%</w:t>
            </w:r>
          </w:p>
        </w:tc>
      </w:tr>
      <w:tr>
        <w:tc>
          <w:tcPr>
            <w:tcW w:type="dxa" w:w="1440"/>
          </w:tcPr>
          <w:p>
            <w:r>
              <w:t>Africa (external, daily truth only)</w:t>
            </w:r>
          </w:p>
        </w:tc>
        <w:tc>
          <w:tcPr>
            <w:tcW w:type="dxa" w:w="1440"/>
          </w:tcPr>
          <w:p>
            <w:r>
              <w:t>r (timing)</w:t>
            </w:r>
          </w:p>
        </w:tc>
        <w:tc>
          <w:tcPr>
            <w:tcW w:type="dxa" w:w="1440"/>
          </w:tcPr>
          <w:p>
            <w:r>
              <w:t>0.294</w:t>
            </w:r>
          </w:p>
        </w:tc>
        <w:tc>
          <w:tcPr>
            <w:tcW w:type="dxa" w:w="1440"/>
          </w:tcPr>
          <w:p>
            <w:r>
              <w:t>0.201</w:t>
            </w:r>
          </w:p>
        </w:tc>
        <w:tc>
          <w:tcPr>
            <w:tcW w:type="dxa" w:w="1440"/>
          </w:tcPr>
          <w:p>
            <w:r>
              <w:t>32%</w:t>
            </w:r>
          </w:p>
        </w:tc>
        <w:tc>
          <w:tcPr>
            <w:tcW w:type="dxa" w:w="1440"/>
          </w:tcPr>
          <w:p>
            <w:r>
              <w:t>88%</w:t>
            </w:r>
          </w:p>
        </w:tc>
      </w:tr>
      <w:tr>
        <w:tc>
          <w:tcPr>
            <w:tcW w:type="dxa" w:w="1440"/>
          </w:tcPr>
          <w:p>
            <w:r>
              <w:t>Africa (external, daily truth only)</w:t>
            </w:r>
          </w:p>
        </w:tc>
        <w:tc>
          <w:tcPr>
            <w:tcW w:type="dxa" w:w="1440"/>
          </w:tcPr>
          <w:p>
            <w:r>
              <w:t>alpha (variability)</w:t>
            </w:r>
          </w:p>
        </w:tc>
        <w:tc>
          <w:tcPr>
            <w:tcW w:type="dxa" w:w="1440"/>
          </w:tcPr>
          <w:p>
            <w:r>
              <w:t>1.209</w:t>
            </w:r>
          </w:p>
        </w:tc>
        <w:tc>
          <w:tcPr>
            <w:tcW w:type="dxa" w:w="1440"/>
          </w:tcPr>
          <w:p>
            <w:r>
              <w:t>0.394</w:t>
            </w:r>
          </w:p>
        </w:tc>
        <w:tc>
          <w:tcPr>
            <w:tcW w:type="dxa" w:w="1440"/>
          </w:tcPr>
          <w:p>
            <w:r>
              <w:t>67%</w:t>
            </w:r>
          </w:p>
        </w:tc>
        <w:tc>
          <w:tcPr>
            <w:tcW w:type="dxa" w:w="1440"/>
          </w:tcPr>
          <w:p>
            <w:r>
              <w:t>82%</w:t>
            </w:r>
          </w:p>
        </w:tc>
      </w:tr>
      <w:tr>
        <w:tc>
          <w:tcPr>
            <w:tcW w:type="dxa" w:w="1440"/>
          </w:tcPr>
          <w:p>
            <w:r>
              <w:t>Africa (external, daily truth only)</w:t>
            </w:r>
          </w:p>
        </w:tc>
        <w:tc>
          <w:tcPr>
            <w:tcW w:type="dxa" w:w="1440"/>
          </w:tcPr>
          <w:p>
            <w:r>
              <w:t>beta (volume)</w:t>
            </w:r>
          </w:p>
        </w:tc>
        <w:tc>
          <w:tcPr>
            <w:tcW w:type="dxa" w:w="1440"/>
          </w:tcPr>
          <w:p>
            <w:r>
              <w:t>1.169</w:t>
            </w:r>
          </w:p>
        </w:tc>
        <w:tc>
          <w:tcPr>
            <w:tcW w:type="dxa" w:w="1440"/>
          </w:tcPr>
          <w:p>
            <w:r>
              <w:t>0.274</w:t>
            </w:r>
          </w:p>
        </w:tc>
        <w:tc>
          <w:tcPr>
            <w:tcW w:type="dxa" w:w="1440"/>
          </w:tcPr>
          <w:p>
            <w:r>
              <w:t>77%</w:t>
            </w:r>
          </w:p>
        </w:tc>
        <w:tc>
          <w:tcPr>
            <w:tcW w:type="dxa" w:w="1440"/>
          </w:tcPr>
          <w:p>
            <w:r>
              <w:t>81%</w:t>
            </w:r>
          </w:p>
        </w:tc>
      </w:tr>
    </w:tbl>
    <w:p>
      <w:r>
        <w:rPr>
          <w:i/>
          <w:color w:val="595959"/>
          <w:sz w:val="17"/>
        </w:rPr>
        <w:t>Deficit means distance from the ideal: 1 - r for the correlation and |log2 x| for the two ratios, since 0.5 and 2.0 are equally wrong for a ratio and their arithmetic mean is not 1. The two are not in the same units, so only the fraction removed is comparable across components. Medians are taken over per-gauge distances, never as the distance of a median: |log2(median beta)| would report the target domain as unbiased because its over- and under-predicting gauges cancel.</w:t>
      </w:r>
    </w:p>
    <w:p>
      <w:r>
        <w:rPr>
          <w:b/>
        </w:rPr>
        <w:t>target domain: 25% of the magnitude deficit removed against 7% of the timing deficit, 3.4x; Africa: 72% of the magnitude deficit removed against 32% of the timing deficit, 2.3x.</w:t>
      </w:r>
    </w:p>
    <w:p>
      <w:r>
        <w:rPr>
          <w:i/>
          <w:color w:val="595959"/>
          <w:sz w:val="17"/>
        </w:rPr>
        <w:t>The prediction holds on both, and the two domains are not alike: Africa's zero-shot deficits are about four times the target domain's, and its model has never seen an African catchment. Beta is repaired most completely of all (77% in Africa), which is what a daily total should do -- it IS the volume. Alpha is repaired less (67%), because a daily total constrains variability only indirectly, and that is the same limit section 4.4 reaches from the other direction: 74% of target gauges are still under-dispersed after fine-tuning.</w:t>
      </w:r>
    </w:p>
    <w:p>
      <w:pPr>
        <w:jc w:val="center"/>
      </w:pPr>
      <w:r>
        <w:drawing>
          <wp:inline xmlns:a="http://schemas.openxmlformats.org/drawingml/2006/main" xmlns:pic="http://schemas.openxmlformats.org/drawingml/2006/picture">
            <wp:extent cx="6035040" cy="2009988"/>
            <wp:docPr id="4" name="Picture 4"/>
            <wp:cNvGraphicFramePr>
              <a:graphicFrameLocks noChangeAspect="1"/>
            </wp:cNvGraphicFramePr>
            <a:graphic>
              <a:graphicData uri="http://schemas.openxmlformats.org/drawingml/2006/picture">
                <pic:pic>
                  <pic:nvPicPr>
                    <pic:cNvPr id="0" name="fig11_component_deficits.png"/>
                    <pic:cNvPicPr/>
                  </pic:nvPicPr>
                  <pic:blipFill>
                    <a:blip r:embed="rId12"/>
                    <a:stretch>
                      <a:fillRect/>
                    </a:stretch>
                  </pic:blipFill>
                  <pic:spPr>
                    <a:xfrm>
                      <a:off x="0" y="0"/>
                      <a:ext cx="6035040" cy="2009988"/>
                    </a:xfrm>
                    <a:prstGeom prst="rect"/>
                  </pic:spPr>
                </pic:pic>
              </a:graphicData>
            </a:graphic>
          </wp:inline>
        </w:drawing>
      </w:r>
    </w:p>
    <w:p>
      <w:pPr>
        <w:jc w:val="center"/>
      </w:pPr>
      <w:r>
        <w:rPr>
          <w:sz w:val="18"/>
        </w:rPr>
        <w:t>Figure 3-3  What a daily total repairs. One axis per component, because the deficits are in different units and a shared scale would invite comparing them directly; the fraction removed, printed on each pair, is what is comparable. Open blue marker is M0, filled orange is M1, as everywhere else in this report.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4600677"/>
            <wp:docPr id="5" name="Picture 5"/>
            <wp:cNvGraphicFramePr>
              <a:graphicFrameLocks noChangeAspect="1"/>
            </wp:cNvGraphicFramePr>
            <a:graphic>
              <a:graphicData uri="http://schemas.openxmlformats.org/drawingml/2006/picture">
                <pic:pic>
                  <pic:nvPicPr>
                    <pic:cNvPr id="0" name="fig10_africa_hourly.png"/>
                    <pic:cNvPicPr/>
                  </pic:nvPicPr>
                  <pic:blipFill>
                    <a:blip r:embed="rId13"/>
                    <a:stretch>
                      <a:fillRect/>
                    </a:stretch>
                  </pic:blipFill>
                  <pic:spPr>
                    <a:xfrm>
                      <a:off x="0" y="0"/>
                      <a:ext cx="6217920" cy="4600677"/>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6" name="Picture 6"/>
            <wp:cNvGraphicFramePr>
              <a:graphicFrameLocks noChangeAspect="1"/>
            </wp:cNvGraphicFramePr>
            <a:graphic>
              <a:graphicData uri="http://schemas.openxmlformats.org/drawingml/2006/picture">
                <pic:pic>
                  <pic:nvPicPr>
                    <pic:cNvPr id="0" name="fig02_gain_drivers.png"/>
                    <pic:cNvPicPr/>
                  </pic:nvPicPr>
                  <pic:blipFill>
                    <a:blip r:embed="rId14"/>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7" name="Picture 7"/>
            <wp:cNvGraphicFramePr>
              <a:graphicFrameLocks noChangeAspect="1"/>
            </wp:cNvGraphicFramePr>
            <a:graphic>
              <a:graphicData uri="http://schemas.openxmlformats.org/drawingml/2006/picture">
                <pic:pic>
                  <pic:nvPicPr>
                    <pic:cNvPr id="0" name="fig08_intraday_shape.png"/>
                    <pic:cNvPicPr/>
                  </pic:nvPicPr>
                  <pic:blipFill>
                    <a:blip r:embed="rId15"/>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8" name="Picture 8"/>
            <wp:cNvGraphicFramePr>
              <a:graphicFrameLocks noChangeAspect="1"/>
            </wp:cNvGraphicFramePr>
            <a:graphic>
              <a:graphicData uri="http://schemas.openxmlformats.org/drawingml/2006/picture">
                <pic:pic>
                  <pic:nvPicPr>
                    <pic:cNvPr id="0" name="fig05_metric_disagreement.png"/>
                    <pic:cNvPicPr/>
                  </pic:nvPicPr>
                  <pic:blipFill>
                    <a:blip r:embed="rId16"/>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2298260"/>
            <wp:docPr id="9" name="Picture 9"/>
            <wp:cNvGraphicFramePr>
              <a:graphicFrameLocks noChangeAspect="1"/>
            </wp:cNvGraphicFramePr>
            <a:graphic>
              <a:graphicData uri="http://schemas.openxmlformats.org/drawingml/2006/picture">
                <pic:pic>
                  <pic:nvPicPr>
                    <pic:cNvPr id="0" name="fig09_global_map.png"/>
                    <pic:cNvPicPr/>
                  </pic:nvPicPr>
                  <pic:blipFill>
                    <a:blip r:embed="rId17"/>
                    <a:stretch>
                      <a:fillRect/>
                    </a:stretch>
                  </pic:blipFill>
                  <pic:spPr>
                    <a:xfrm>
                      <a:off x="0" y="0"/>
                      <a:ext cx="5943600" cy="2298260"/>
                    </a:xfrm>
                    <a:prstGeom prst="rect"/>
                  </pic:spPr>
                </pic:pic>
              </a:graphicData>
            </a:graphic>
          </wp:inline>
        </w:drawing>
      </w:r>
    </w:p>
    <w:p>
      <w:pPr>
        <w:jc w:val="center"/>
      </w:pPr>
      <w:r>
        <w:rPr>
          <w:sz w:val="18"/>
        </w:rPr>
        <w:t>Figure 4-4  Target-domain hourly metrics in space, configuration v2, random split. Top row reads before / after / change: zero-shot M0 KGE, M1 after daily-only fine-tuning, and the gain on a diverging scale centred at zero. Bottom row is where the zero-shot model loses, plus how much of it is repaired: alpha = std(sim)/std(obs) and beta = mean(sim)/mean(obs), both at M0, then how much closer to 1.0 alpha moved. Both ratios are on a log scale so that halving and doubling the observed value sit equally far from the white centre; red means improvement in every change panel. The 5-fold design makes every gauge a target gauge exactly once, so every marker is a real value. Two things the aggregate numbers hide. Alpha is only partly repaired: its median moves 0.813 to 0.851 and the share of under-dispersed gauges barely shifts (71% to 72%), yet 65% of gauges move closer to 1.0 and median |log2 alpha| falls 0.464 to 0.342 -- a tightening toward 1.0 from both sides, not a shift upward. And beta looks fine only in aggregate: its median is 1.025, but the 10-90% spread runs 0.63 to 1.91, so half the gauges carry a volume bias worse than 20% in one direction or the other.</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10" name="Picture 10"/>
            <wp:cNvGraphicFramePr>
              <a:graphicFrameLocks noChangeAspect="1"/>
            </wp:cNvGraphicFramePr>
            <a:graphic>
              <a:graphicData uri="http://schemas.openxmlformats.org/drawingml/2006/picture">
                <pic:pic>
                  <pic:nvPicPr>
                    <pic:cNvPr id="0" name="fig04_agency_recovery.png"/>
                    <pic:cNvPicPr/>
                  </pic:nvPicPr>
                  <pic:blipFill>
                    <a:blip r:embed="rId18"/>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1" name="Picture 11"/>
            <wp:cNvGraphicFramePr>
              <a:graphicFrameLocks noChangeAspect="1"/>
            </wp:cNvGraphicFramePr>
            <a:graphic>
              <a:graphicData uri="http://schemas.openxmlformats.org/drawingml/2006/picture">
                <pic:pic>
                  <pic:nvPicPr>
                    <pic:cNvPr id="0" name="fig06_convergence.png"/>
                    <pic:cNvPicPr/>
                  </pic:nvPicPr>
                  <pic:blipFill>
                    <a:blip r:embed="rId19"/>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