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pStyle w:val="Heading2"/>
      </w:pPr>
      <w:r>
        <w:t>4.4 Global distribution</w:t>
      </w:r>
    </w:p>
    <w:p>
      <w:pPr>
        <w:jc w:val="center"/>
      </w:pPr>
      <w:r>
        <w:drawing>
          <wp:inline xmlns:a="http://schemas.openxmlformats.org/drawingml/2006/main" xmlns:pic="http://schemas.openxmlformats.org/drawingml/2006/picture">
            <wp:extent cx="5943600" cy="3145370"/>
            <wp:docPr id="1" name="Picture 1"/>
            <wp:cNvGraphicFramePr>
              <a:graphicFrameLocks noChangeAspect="1"/>
            </wp:cNvGraphicFramePr>
            <a:graphic>
              <a:graphicData uri="http://schemas.openxmlformats.org/drawingml/2006/picture">
                <pic:pic>
                  <pic:nvPicPr>
                    <pic:cNvPr id="0" name="global_map_target.png"/>
                    <pic:cNvPicPr/>
                  </pic:nvPicPr>
                  <pic:blipFill>
                    <a:blip r:embed="rId9"/>
                    <a:stretch>
                      <a:fillRect/>
                    </a:stretch>
                  </pic:blipFill>
                  <pic:spPr>
                    <a:xfrm>
                      <a:off x="0" y="0"/>
                      <a:ext cx="5943600" cy="3145370"/>
                    </a:xfrm>
                    <a:prstGeom prst="rect"/>
                  </pic:spPr>
                </pic:pic>
              </a:graphicData>
            </a:graphic>
          </wp:inline>
        </w:drawing>
      </w:r>
    </w:p>
    <w:p>
      <w:pPr>
        <w:jc w:val="center"/>
      </w:pPr>
      <w:r>
        <w:rPr>
          <w:sz w:val="18"/>
        </w:rPr>
        <w:t>Figure 4-1  Target-domain hourly metrics in space.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