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r>
        <w:rPr>
          <w:i/>
          <w:color w:val="595959"/>
          <w:sz w:val="17"/>
        </w:rPr>
        <w:t>Why 294 and not more, since 294 against 8,843 temperate gauges looks like a filtering choice: it is not one. The global daily database holds 37,972 stations with metadata and 16,166 with a discharge time series. Of the 1,577 African entries with metadata, only 302 have a time series at all, and 294 of those are used here -- 97% of what exists. The rest cannot be scored by anyone. Africa is genuinely gauge-sparse, and that sparsity is the condition this external test exists to confront, not an artefact of how the set was assembled. The specific 294 are the test set of the continent-holdout PUB run adopted verbatim, so these numbers sit directly against that baseline's +0.279; whatever selection it applied is inherited, which is a real limitation. They are small-to-medium catchments, median area 759 km2 (19-9,839), with a median of 1,090 validation days each.</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3.3b What a daily total repairs, on both domains</w:t>
      </w:r>
    </w:p>
    <w:p>
      <w:r>
        <w:t>The mechanism claim behind this whole experiment is that a 24-hour total carries magnitude information and not sub-daily timing information. It should therefore repair alpha and beta and leave r largely alone -- a falsifiable prediction, and one that can be checked twice, because Africa and the target domain differ by about a factor of four in how broken the zero-shot model 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Domain</w:t>
            </w:r>
          </w:p>
        </w:tc>
        <w:tc>
          <w:tcPr>
            <w:tcW w:type="dxa" w:w="1440"/>
          </w:tcPr>
          <w:p>
            <w:r>
              <w:t>Component</w:t>
            </w:r>
          </w:p>
        </w:tc>
        <w:tc>
          <w:tcPr>
            <w:tcW w:type="dxa" w:w="1440"/>
          </w:tcPr>
          <w:p>
            <w:r>
              <w:t>Deficit at M0</w:t>
            </w:r>
          </w:p>
        </w:tc>
        <w:tc>
          <w:tcPr>
            <w:tcW w:type="dxa" w:w="1440"/>
          </w:tcPr>
          <w:p>
            <w:r>
              <w:t>Deficit at M1</w:t>
            </w:r>
          </w:p>
        </w:tc>
        <w:tc>
          <w:tcPr>
            <w:tcW w:type="dxa" w:w="1440"/>
          </w:tcPr>
          <w:p>
            <w:r>
              <w:t>Removed</w:t>
            </w:r>
          </w:p>
        </w:tc>
        <w:tc>
          <w:tcPr>
            <w:tcW w:type="dxa" w:w="1440"/>
          </w:tcPr>
          <w:p>
            <w:r>
              <w:t>Gauges improved</w:t>
            </w:r>
          </w:p>
        </w:tc>
      </w:tr>
      <w:tr>
        <w:tc>
          <w:tcPr>
            <w:tcW w:type="dxa" w:w="1440"/>
          </w:tcPr>
          <w:p>
            <w:r>
              <w:t>target domain (temperate, hourly truth)</w:t>
            </w:r>
          </w:p>
        </w:tc>
        <w:tc>
          <w:tcPr>
            <w:tcW w:type="dxa" w:w="1440"/>
          </w:tcPr>
          <w:p>
            <w:r>
              <w:t>r (timing)</w:t>
            </w:r>
          </w:p>
        </w:tc>
        <w:tc>
          <w:tcPr>
            <w:tcW w:type="dxa" w:w="1440"/>
          </w:tcPr>
          <w:p>
            <w:r>
              <w:t>0.203</w:t>
            </w:r>
          </w:p>
        </w:tc>
        <w:tc>
          <w:tcPr>
            <w:tcW w:type="dxa" w:w="1440"/>
          </w:tcPr>
          <w:p>
            <w:r>
              <w:t>0.188</w:t>
            </w:r>
          </w:p>
        </w:tc>
        <w:tc>
          <w:tcPr>
            <w:tcW w:type="dxa" w:w="1440"/>
          </w:tcPr>
          <w:p>
            <w:r>
              <w:t>7%</w:t>
            </w:r>
          </w:p>
        </w:tc>
        <w:tc>
          <w:tcPr>
            <w:tcW w:type="dxa" w:w="1440"/>
          </w:tcPr>
          <w:p>
            <w:r>
              <w:t>59%</w:t>
            </w:r>
          </w:p>
        </w:tc>
      </w:tr>
      <w:tr>
        <w:tc>
          <w:tcPr>
            <w:tcW w:type="dxa" w:w="1440"/>
          </w:tcPr>
          <w:p>
            <w:r>
              <w:t>target domain (temperate, hourly truth)</w:t>
            </w:r>
          </w:p>
        </w:tc>
        <w:tc>
          <w:tcPr>
            <w:tcW w:type="dxa" w:w="1440"/>
          </w:tcPr>
          <w:p>
            <w:r>
              <w:t>alpha (variability)</w:t>
            </w:r>
          </w:p>
        </w:tc>
        <w:tc>
          <w:tcPr>
            <w:tcW w:type="dxa" w:w="1440"/>
          </w:tcPr>
          <w:p>
            <w:r>
              <w:t>0.464</w:t>
            </w:r>
          </w:p>
        </w:tc>
        <w:tc>
          <w:tcPr>
            <w:tcW w:type="dxa" w:w="1440"/>
          </w:tcPr>
          <w:p>
            <w:r>
              <w:t>0.342</w:t>
            </w:r>
          </w:p>
        </w:tc>
        <w:tc>
          <w:tcPr>
            <w:tcW w:type="dxa" w:w="1440"/>
          </w:tcPr>
          <w:p>
            <w:r>
              <w:t>26%</w:t>
            </w:r>
          </w:p>
        </w:tc>
        <w:tc>
          <w:tcPr>
            <w:tcW w:type="dxa" w:w="1440"/>
          </w:tcPr>
          <w:p>
            <w:r>
              <w:t>65%</w:t>
            </w:r>
          </w:p>
        </w:tc>
      </w:tr>
      <w:tr>
        <w:tc>
          <w:tcPr>
            <w:tcW w:type="dxa" w:w="1440"/>
          </w:tcPr>
          <w:p>
            <w:r>
              <w:t>target domain (temperate, hourly truth)</w:t>
            </w:r>
          </w:p>
        </w:tc>
        <w:tc>
          <w:tcPr>
            <w:tcW w:type="dxa" w:w="1440"/>
          </w:tcPr>
          <w:p>
            <w:r>
              <w:t>beta (volume)</w:t>
            </w:r>
          </w:p>
        </w:tc>
        <w:tc>
          <w:tcPr>
            <w:tcW w:type="dxa" w:w="1440"/>
          </w:tcPr>
          <w:p>
            <w:r>
              <w:t>0.280</w:t>
            </w:r>
          </w:p>
        </w:tc>
        <w:tc>
          <w:tcPr>
            <w:tcW w:type="dxa" w:w="1440"/>
          </w:tcPr>
          <w:p>
            <w:r>
              <w:t>0.211</w:t>
            </w:r>
          </w:p>
        </w:tc>
        <w:tc>
          <w:tcPr>
            <w:tcW w:type="dxa" w:w="1440"/>
          </w:tcPr>
          <w:p>
            <w:r>
              <w:t>25%</w:t>
            </w:r>
          </w:p>
        </w:tc>
        <w:tc>
          <w:tcPr>
            <w:tcW w:type="dxa" w:w="1440"/>
          </w:tcPr>
          <w:p>
            <w:r>
              <w:t>58%</w:t>
            </w:r>
          </w:p>
        </w:tc>
      </w:tr>
      <w:tr>
        <w:tc>
          <w:tcPr>
            <w:tcW w:type="dxa" w:w="1440"/>
          </w:tcPr>
          <w:p>
            <w:r>
              <w:t>Africa (external, daily truth only)</w:t>
            </w:r>
          </w:p>
        </w:tc>
        <w:tc>
          <w:tcPr>
            <w:tcW w:type="dxa" w:w="1440"/>
          </w:tcPr>
          <w:p>
            <w:r>
              <w:t>r (timing)</w:t>
            </w:r>
          </w:p>
        </w:tc>
        <w:tc>
          <w:tcPr>
            <w:tcW w:type="dxa" w:w="1440"/>
          </w:tcPr>
          <w:p>
            <w:r>
              <w:t>0.294</w:t>
            </w:r>
          </w:p>
        </w:tc>
        <w:tc>
          <w:tcPr>
            <w:tcW w:type="dxa" w:w="1440"/>
          </w:tcPr>
          <w:p>
            <w:r>
              <w:t>0.201</w:t>
            </w:r>
          </w:p>
        </w:tc>
        <w:tc>
          <w:tcPr>
            <w:tcW w:type="dxa" w:w="1440"/>
          </w:tcPr>
          <w:p>
            <w:r>
              <w:t>32%</w:t>
            </w:r>
          </w:p>
        </w:tc>
        <w:tc>
          <w:tcPr>
            <w:tcW w:type="dxa" w:w="1440"/>
          </w:tcPr>
          <w:p>
            <w:r>
              <w:t>88%</w:t>
            </w:r>
          </w:p>
        </w:tc>
      </w:tr>
      <w:tr>
        <w:tc>
          <w:tcPr>
            <w:tcW w:type="dxa" w:w="1440"/>
          </w:tcPr>
          <w:p>
            <w:r>
              <w:t>Africa (external, daily truth only)</w:t>
            </w:r>
          </w:p>
        </w:tc>
        <w:tc>
          <w:tcPr>
            <w:tcW w:type="dxa" w:w="1440"/>
          </w:tcPr>
          <w:p>
            <w:r>
              <w:t>alpha (variability)</w:t>
            </w:r>
          </w:p>
        </w:tc>
        <w:tc>
          <w:tcPr>
            <w:tcW w:type="dxa" w:w="1440"/>
          </w:tcPr>
          <w:p>
            <w:r>
              <w:t>1.209</w:t>
            </w:r>
          </w:p>
        </w:tc>
        <w:tc>
          <w:tcPr>
            <w:tcW w:type="dxa" w:w="1440"/>
          </w:tcPr>
          <w:p>
            <w:r>
              <w:t>0.394</w:t>
            </w:r>
          </w:p>
        </w:tc>
        <w:tc>
          <w:tcPr>
            <w:tcW w:type="dxa" w:w="1440"/>
          </w:tcPr>
          <w:p>
            <w:r>
              <w:t>67%</w:t>
            </w:r>
          </w:p>
        </w:tc>
        <w:tc>
          <w:tcPr>
            <w:tcW w:type="dxa" w:w="1440"/>
          </w:tcPr>
          <w:p>
            <w:r>
              <w:t>82%</w:t>
            </w:r>
          </w:p>
        </w:tc>
      </w:tr>
      <w:tr>
        <w:tc>
          <w:tcPr>
            <w:tcW w:type="dxa" w:w="1440"/>
          </w:tcPr>
          <w:p>
            <w:r>
              <w:t>Africa (external, daily truth only)</w:t>
            </w:r>
          </w:p>
        </w:tc>
        <w:tc>
          <w:tcPr>
            <w:tcW w:type="dxa" w:w="1440"/>
          </w:tcPr>
          <w:p>
            <w:r>
              <w:t>beta (volume)</w:t>
            </w:r>
          </w:p>
        </w:tc>
        <w:tc>
          <w:tcPr>
            <w:tcW w:type="dxa" w:w="1440"/>
          </w:tcPr>
          <w:p>
            <w:r>
              <w:t>1.169</w:t>
            </w:r>
          </w:p>
        </w:tc>
        <w:tc>
          <w:tcPr>
            <w:tcW w:type="dxa" w:w="1440"/>
          </w:tcPr>
          <w:p>
            <w:r>
              <w:t>0.274</w:t>
            </w:r>
          </w:p>
        </w:tc>
        <w:tc>
          <w:tcPr>
            <w:tcW w:type="dxa" w:w="1440"/>
          </w:tcPr>
          <w:p>
            <w:r>
              <w:t>77%</w:t>
            </w:r>
          </w:p>
        </w:tc>
        <w:tc>
          <w:tcPr>
            <w:tcW w:type="dxa" w:w="1440"/>
          </w:tcPr>
          <w:p>
            <w:r>
              <w:t>81%</w:t>
            </w:r>
          </w:p>
        </w:tc>
      </w:tr>
    </w:tbl>
    <w:p>
      <w:r>
        <w:rPr>
          <w:i/>
          <w:color w:val="595959"/>
          <w:sz w:val="17"/>
        </w:rPr>
        <w:t>Deficit means distance from the ideal: 1 - r for the correlation and |log2 x| for the two ratios, since 0.5 and 2.0 are equally wrong for a ratio and their arithmetic mean is not 1. The two are not in the same units, so only the fraction removed is comparable across components. Medians are taken over per-gauge distances, never as the distance of a median: |log2(median beta)| would report the target domain as unbiased because its over- and under-predicting gauges cancel.</w:t>
      </w:r>
    </w:p>
    <w:p>
      <w:r>
        <w:rPr>
          <w:b/>
        </w:rPr>
        <w:t>target domain: 25% of the magnitude deficit removed against 7% of the timing deficit, 3.4x; Africa: 72% of the magnitude deficit removed against 32% of the timing deficit, 2.3x.</w:t>
      </w:r>
    </w:p>
    <w:p>
      <w:r>
        <w:rPr>
          <w:i/>
          <w:color w:val="595959"/>
          <w:sz w:val="17"/>
        </w:rPr>
        <w:t>The prediction holds on both, and the two domains are not alike: Africa's zero-shot deficits are about four times the target domain's, and its model has never seen an African catchment. Beta is repaired most completely of all (77% in Africa), which is what a daily total should do -- it IS the volume. Alpha is repaired less (67%), because a daily total constrains variability only indirectly, and that is the same limit section 4.4 reaches from the other direction: 74% of target gauges are still under-dispersed after fine-tuning.</w:t>
      </w:r>
    </w:p>
    <w:p>
      <w:pPr>
        <w:jc w:val="center"/>
      </w:pPr>
      <w:r>
        <w:drawing>
          <wp:inline xmlns:a="http://schemas.openxmlformats.org/drawingml/2006/main" xmlns:pic="http://schemas.openxmlformats.org/drawingml/2006/picture">
            <wp:extent cx="6035040" cy="2009988"/>
            <wp:docPr id="4" name="Picture 4"/>
            <wp:cNvGraphicFramePr>
              <a:graphicFrameLocks noChangeAspect="1"/>
            </wp:cNvGraphicFramePr>
            <a:graphic>
              <a:graphicData uri="http://schemas.openxmlformats.org/drawingml/2006/picture">
                <pic:pic>
                  <pic:nvPicPr>
                    <pic:cNvPr id="0" name="fig11_component_deficits.png"/>
                    <pic:cNvPicPr/>
                  </pic:nvPicPr>
                  <pic:blipFill>
                    <a:blip r:embed="rId12"/>
                    <a:stretch>
                      <a:fillRect/>
                    </a:stretch>
                  </pic:blipFill>
                  <pic:spPr>
                    <a:xfrm>
                      <a:off x="0" y="0"/>
                      <a:ext cx="6035040" cy="2009988"/>
                    </a:xfrm>
                    <a:prstGeom prst="rect"/>
                  </pic:spPr>
                </pic:pic>
              </a:graphicData>
            </a:graphic>
          </wp:inline>
        </w:drawing>
      </w:r>
    </w:p>
    <w:p>
      <w:pPr>
        <w:jc w:val="center"/>
      </w:pPr>
      <w:r>
        <w:rPr>
          <w:sz w:val="18"/>
        </w:rPr>
        <w:t>Figure 3-3  What a daily total repairs. One axis per component, because the deficits are in different units and a shared scale would invite comparing them directly; the fraction removed, printed on each pair, is what is comparable. Open blue marker is M0, filled orange is M1, as everywhere else in this report.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r>
        <w:t>The figure’s third column shows the average day: every day of the window aligned by hour and divided by that series’ own mean. Averaging over ninety days destroys event-driven structure, since storms keep no fixed hour, so what survives is tied to the clock. Over all 284 African basins the rainfall the model is given has a median peak-to-trough of 5.36x across the day while the model’s output has 1.17x: M1 damps the rainfall’s clock-driven cycle 4.6-fold, responding to events rather than to the time of day.</w:t>
      </w:r>
    </w:p>
    <w:p>
      <w:r>
        <w:rPr>
          <w:b/>
        </w:rPr>
        <w:t>Whether a flat average day is the CORRECT answer cannot be settled in Africa, and on the target domain it now can be: over 8,424 gauges with hourly observations the observed average day has a median peak-to-trough of 1.044x against the model’s 1.098x. The real river’s average day is nearly flat, so near-flat is right, and the model is 1.05x the observed amplitude — marginally more variable than reality, not less.</w:t>
      </w:r>
    </w:p>
    <w:p>
      <w:r>
        <w:rPr>
          <w:i/>
          <w:color w:val="595959"/>
          <w:sz w:val="17"/>
        </w:rPr>
        <w:t>This is measured on the temperate target domain rather than in Africa, and it concerns a systematic time-of-day cycle only: it says nothing about whether an individual peak arrives at the right hour, which no African observation can check.</w:t>
      </w:r>
    </w:p>
    <w:p>
      <w:pPr>
        <w:jc w:val="center"/>
      </w:pPr>
      <w:r>
        <w:drawing>
          <wp:inline xmlns:a="http://schemas.openxmlformats.org/drawingml/2006/main" xmlns:pic="http://schemas.openxmlformats.org/drawingml/2006/picture">
            <wp:extent cx="6217920" cy="4600677"/>
            <wp:docPr id="5" name="Picture 5"/>
            <wp:cNvGraphicFramePr>
              <a:graphicFrameLocks noChangeAspect="1"/>
            </wp:cNvGraphicFramePr>
            <a:graphic>
              <a:graphicData uri="http://schemas.openxmlformats.org/drawingml/2006/picture">
                <pic:pic>
                  <pic:nvPicPr>
                    <pic:cNvPr id="0" name="fig10_africa_hourly.png"/>
                    <pic:cNvPicPr/>
                  </pic:nvPicPr>
                  <pic:blipFill>
                    <a:blip r:embed="rId13"/>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6" name="Picture 6"/>
            <wp:cNvGraphicFramePr>
              <a:graphicFrameLocks noChangeAspect="1"/>
            </wp:cNvGraphicFramePr>
            <a:graphic>
              <a:graphicData uri="http://schemas.openxmlformats.org/drawingml/2006/picture">
                <pic:pic>
                  <pic:nvPicPr>
                    <pic:cNvPr id="0" name="fig02_gain_drivers.png"/>
                    <pic:cNvPicPr/>
                  </pic:nvPicPr>
                  <pic:blipFill>
                    <a:blip r:embed="rId14"/>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7" name="Picture 7"/>
            <wp:cNvGraphicFramePr>
              <a:graphicFrameLocks noChangeAspect="1"/>
            </wp:cNvGraphicFramePr>
            <a:graphic>
              <a:graphicData uri="http://schemas.openxmlformats.org/drawingml/2006/picture">
                <pic:pic>
                  <pic:nvPicPr>
                    <pic:cNvPr id="0" name="fig08_intraday_shape.png"/>
                    <pic:cNvPicPr/>
                  </pic:nvPicPr>
                  <pic:blipFill>
                    <a:blip r:embed="rId15"/>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8" name="Picture 8"/>
            <wp:cNvGraphicFramePr>
              <a:graphicFrameLocks noChangeAspect="1"/>
            </wp:cNvGraphicFramePr>
            <a:graphic>
              <a:graphicData uri="http://schemas.openxmlformats.org/drawingml/2006/picture">
                <pic:pic>
                  <pic:nvPicPr>
                    <pic:cNvPr id="0" name="fig05_metric_disagreement.png"/>
                    <pic:cNvPicPr/>
                  </pic:nvPicPr>
                  <pic:blipFill>
                    <a:blip r:embed="rId16"/>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2932150"/>
            <wp:docPr id="9" name="Picture 9"/>
            <wp:cNvGraphicFramePr>
              <a:graphicFrameLocks noChangeAspect="1"/>
            </wp:cNvGraphicFramePr>
            <a:graphic>
              <a:graphicData uri="http://schemas.openxmlformats.org/drawingml/2006/picture">
                <pic:pic>
                  <pic:nvPicPr>
                    <pic:cNvPr id="0" name="fig09_global_map.png"/>
                    <pic:cNvPicPr/>
                  </pic:nvPicPr>
                  <pic:blipFill>
                    <a:blip r:embed="rId17"/>
                    <a:stretch>
                      <a:fillRect/>
                    </a:stretch>
                  </pic:blipFill>
                  <pic:spPr>
                    <a:xfrm>
                      <a:off x="0" y="0"/>
                      <a:ext cx="5943600" cy="2932150"/>
                    </a:xfrm>
                    <a:prstGeom prst="rect"/>
                  </pic:spPr>
                </pic:pic>
              </a:graphicData>
            </a:graphic>
          </wp:inline>
        </w:drawing>
      </w:r>
    </w:p>
    <w:p>
      <w:pPr>
        <w:jc w:val="center"/>
      </w:pPr>
      <w:r>
        <w:rPr>
          <w:sz w:val="18"/>
        </w:rPr>
        <w:t>Figure 4-4  Where the experiment stands, in one frame. A 4x3 matrix: columns are M0, M1 and their difference; rows are KGE and its three components. The first two columns of a row share a scale, so the pair can be compared by eye. Small dots are the 8,843 target gauges, scored against HOURLY observations -- Phase I's premise SIMULATED, since their hourly data exists and is withheld. Large outlined dots are the 282 African basins, scored against DAILY observations -- the same premise GENUINE, since no African catchment has hourly discharge at all. Same pretrained models and the same daily-only fine-tuning in both, so M0 and M1 mean structurally the same thing; only the observation the score is computed against differs, which is why the two are never pooled into one median and why the markers differ. Gauge composition: CAMELSH 5059 | BOMAustralia 1730 | LamaHCE 834 | Japan 690 | Germany 457 | LamaHIce 73. Alpha and beta are drawn on a log scale, so halving and doubling the observed value sit equally far from the white centre; all twelve panels share one map window, so longitude is labelled on the bottom row and latitude on the left column only. Panels: (a) KGE at M0, gauges 0.527 and basins 0.114; (b) KGE at M1, 0.626 and 0.576; (c) the difference M1 - M0, median +0.062 and +0.409, removing 21% and 52% of the deficit.  (d) r at M0, gauges 0.800 and basins 0.706; (e) r at M1, 0.815 and 0.799; (f) the difference M1 - M0, median +0.005 and +0.080, removing 7% and 32% of the deficit.  (g) alpha at M0, gauges 0.808 and basins 0.440; (h) alpha at M1, 0.845 and 0.830; (i) the difference M1 - M0, median +0.037 and +0.333, removing 26% and 67% of the deficit.  (j) beta at M0, gauges 1.020 and basins 0.475; (k) beta at M1, 0.995 and 0.953; (l) the difference M1 - M0, median -0.019 and +0.455, removing 26% and 76% of the deficit.  In the difference column the sign is the verdict for KGE and r, where larger is better, but NOT for alpha and beta, whose ideal is 1.0: an increase helps a gauge below it and hurts one above it. Row (l) shows this directly -- the gauges' median difference is negative while a quarter of their deficit is removed, because beta started above 1 and moved down toward it. The deficit fraction, not the sign, is what means better or worse. Africa carries the argument: worst at M0, largest gain, close to the gauges by M1; and the rows give the mechanism, since a daily total removes far more of the volume and variability deficits than of the timing one -- which is what a daily total can and cannot carry.</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10" name="Picture 10"/>
            <wp:cNvGraphicFramePr>
              <a:graphicFrameLocks noChangeAspect="1"/>
            </wp:cNvGraphicFramePr>
            <a:graphic>
              <a:graphicData uri="http://schemas.openxmlformats.org/drawingml/2006/picture">
                <pic:pic>
                  <pic:nvPicPr>
                    <pic:cNvPr id="0" name="fig04_agency_recovery.png"/>
                    <pic:cNvPicPr/>
                  </pic:nvPicPr>
                  <pic:blipFill>
                    <a:blip r:embed="rId18"/>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1" name="Picture 11"/>
            <wp:cNvGraphicFramePr>
              <a:graphicFrameLocks noChangeAspect="1"/>
            </wp:cNvGraphicFramePr>
            <a:graphic>
              <a:graphicData uri="http://schemas.openxmlformats.org/drawingml/2006/picture">
                <pic:pic>
                  <pic:nvPicPr>
                    <pic:cNvPr id="0" name="fig06_convergence.png"/>
                    <pic:cNvPicPr/>
                  </pic:nvPicPr>
                  <pic:blipFill>
                    <a:blip r:embed="rId19"/>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