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pPr>
        <w:jc w:val="center"/>
      </w:pPr>
      <w:r>
        <w:drawing>
          <wp:inline xmlns:a="http://schemas.openxmlformats.org/drawingml/2006/main" xmlns:pic="http://schemas.openxmlformats.org/drawingml/2006/picture">
            <wp:extent cx="6217920" cy="4346293"/>
            <wp:docPr id="4" name="Picture 4"/>
            <wp:cNvGraphicFramePr>
              <a:graphicFrameLocks noChangeAspect="1"/>
            </wp:cNvGraphicFramePr>
            <a:graphic>
              <a:graphicData uri="http://schemas.openxmlformats.org/drawingml/2006/picture">
                <pic:pic>
                  <pic:nvPicPr>
                    <pic:cNvPr id="0" name="fig10_africa_hourly.png"/>
                    <pic:cNvPicPr/>
                  </pic:nvPicPr>
                  <pic:blipFill>
                    <a:blip r:embed="rId12"/>
                    <a:stretch>
                      <a:fillRect/>
                    </a:stretch>
                  </pic:blipFill>
                  <pic:spPr>
                    <a:xfrm>
                      <a:off x="0" y="0"/>
                      <a:ext cx="6217920" cy="4346293"/>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5" name="Picture 5"/>
            <wp:cNvGraphicFramePr>
              <a:graphicFrameLocks noChangeAspect="1"/>
            </wp:cNvGraphicFramePr>
            <a:graphic>
              <a:graphicData uri="http://schemas.openxmlformats.org/drawingml/2006/picture">
                <pic:pic>
                  <pic:nvPicPr>
                    <pic:cNvPr id="0" name="fig02_gain_drivers.png"/>
                    <pic:cNvPicPr/>
                  </pic:nvPicPr>
                  <pic:blipFill>
                    <a:blip r:embed="rId13"/>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6" name="Picture 6"/>
            <wp:cNvGraphicFramePr>
              <a:graphicFrameLocks noChangeAspect="1"/>
            </wp:cNvGraphicFramePr>
            <a:graphic>
              <a:graphicData uri="http://schemas.openxmlformats.org/drawingml/2006/picture">
                <pic:pic>
                  <pic:nvPicPr>
                    <pic:cNvPr id="0" name="fig08_intraday_shape.png"/>
                    <pic:cNvPicPr/>
                  </pic:nvPicPr>
                  <pic:blipFill>
                    <a:blip r:embed="rId14"/>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7" name="Picture 7"/>
            <wp:cNvGraphicFramePr>
              <a:graphicFrameLocks noChangeAspect="1"/>
            </wp:cNvGraphicFramePr>
            <a:graphic>
              <a:graphicData uri="http://schemas.openxmlformats.org/drawingml/2006/picture">
                <pic:pic>
                  <pic:nvPicPr>
                    <pic:cNvPr id="0" name="fig05_metric_disagreement.png"/>
                    <pic:cNvPicPr/>
                  </pic:nvPicPr>
                  <pic:blipFill>
                    <a:blip r:embed="rId15"/>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145370"/>
            <wp:docPr id="8" name="Picture 8"/>
            <wp:cNvGraphicFramePr>
              <a:graphicFrameLocks noChangeAspect="1"/>
            </wp:cNvGraphicFramePr>
            <a:graphic>
              <a:graphicData uri="http://schemas.openxmlformats.org/drawingml/2006/picture">
                <pic:pic>
                  <pic:nvPicPr>
                    <pic:cNvPr id="0" name="fig09_global_map.png"/>
                    <pic:cNvPicPr/>
                  </pic:nvPicPr>
                  <pic:blipFill>
                    <a:blip r:embed="rId16"/>
                    <a:stretch>
                      <a:fillRect/>
                    </a:stretch>
                  </pic:blipFill>
                  <pic:spPr>
                    <a:xfrm>
                      <a:off x="0" y="0"/>
                      <a:ext cx="5943600" cy="3145370"/>
                    </a:xfrm>
                    <a:prstGeom prst="rect"/>
                  </pic:spPr>
                </pic:pic>
              </a:graphicData>
            </a:graphic>
          </wp:inline>
        </w:drawing>
      </w:r>
    </w:p>
    <w:p>
      <w:pPr>
        <w:jc w:val="center"/>
      </w:pPr>
      <w:r>
        <w:rPr>
          <w:sz w:val="18"/>
        </w:rPr>
        <w:t>Figure 4-4  Target-domain hourly metrics in space, configuration v2.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9" name="Picture 9"/>
            <wp:cNvGraphicFramePr>
              <a:graphicFrameLocks noChangeAspect="1"/>
            </wp:cNvGraphicFramePr>
            <a:graphic>
              <a:graphicData uri="http://schemas.openxmlformats.org/drawingml/2006/picture">
                <pic:pic>
                  <pic:nvPicPr>
                    <pic:cNvPr id="0" name="fig04_agency_recovery.png"/>
                    <pic:cNvPicPr/>
                  </pic:nvPicPr>
                  <pic:blipFill>
                    <a:blip r:embed="rId17"/>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0" name="Picture 10"/>
            <wp:cNvGraphicFramePr>
              <a:graphicFrameLocks noChangeAspect="1"/>
            </wp:cNvGraphicFramePr>
            <a:graphic>
              <a:graphicData uri="http://schemas.openxmlformats.org/drawingml/2006/picture">
                <pic:pic>
                  <pic:nvPicPr>
                    <pic:cNvPr id="0" name="fig06_convergence.png"/>
                    <pic:cNvPicPr/>
                  </pic:nvPicPr>
                  <pic:blipFill>
                    <a:blip r:embed="rId18"/>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