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2299587"/>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2299587"/>
                    </a:xfrm>
                    <a:prstGeom prst="rect"/>
                  </pic:spPr>
                </pic:pic>
              </a:graphicData>
            </a:graphic>
          </wp:inline>
        </w:drawing>
      </w:r>
    </w:p>
    <w:p>
      <w:pPr>
        <w:jc w:val="center"/>
      </w:pPr>
      <w:r>
        <w:rPr>
          <w:sz w:val="18"/>
        </w:rPr>
        <w:t>Figure 4-4  Where the experiment stands, in one frame.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what differs is the observation the score is computed against, which is why the two are never pooled into one median and why the markers differ. Top row reads before / after / change; bottom row is where the zero-shot model loses -- alpha = std(sim)/std(obs) and beta = mean(sim)/mean(obs), both at M0, on a log scale so halving and doubling sit equally far from the white centre -- then how much closer to 1.0 alpha moved. Red is improvement in both change panels. Africa carries the argument: it starts worst on the map (KGE 0.114, alpha 0.440, beta 0.475, all far below the gauges), gains most (+0.409 against +0.062), and ends close to them (0.576). The 5-fold design makes every gauge a target gauge exactly once, so every marker is a real value. Two things the aggregate numbers hide: alpha is only partly repaired -- 74% of gauges remain under-dispersed after fine-tuning even though 65% move closer to 1.0 -- and beta looks unbiased only in aggregate, its gauge median 1.02 concealing a 10-90% spread of 0.63 to 1.91.</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