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600677"/>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826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2298260"/>
                    </a:xfrm>
                    <a:prstGeom prst="rect"/>
                  </pic:spPr>
                </pic:pic>
              </a:graphicData>
            </a:graphic>
          </wp:inline>
        </w:drawing>
      </w:r>
    </w:p>
    <w:p>
      <w:pPr>
        <w:jc w:val="center"/>
      </w:pPr>
      <w:r>
        <w:rPr>
          <w:sz w:val="18"/>
        </w:rPr>
        <w:t>Figure 4-4  Target-domain hourly metrics in space, configuration v2, random split. Top row reads before / after / change: zero-shot M0 KGE, M1 after daily-only fine-tuning, and the gain on a diverging scale centred at zero. Bottom row is where the zero-shot model loses, plus how much of it is repaired: alpha = std(sim)/std(obs) and beta = mean(sim)/mean(obs), both at M0, then how much closer to 1.0 alpha moved. Both ratios are on a log scale so that halving and doubling the observed value sit equally far from the white centre; red means improvement in every change panel. The 5-fold design makes every gauge a target gauge exactly once, so every marker is a real value. Two things the aggregate numbers hide. Alpha is only partly repaired: its median moves 0.813 to 0.851 and the share of under-dispersed gauges barely shifts (71% to 72%), yet 65% of gauges move closer to 1.0 and median |log2 alpha| falls 0.464 to 0.342 -- a tightening toward 1.0 from both sides, not a shift upward. And beta looks fine only in aggregate: its median is 1.025, but the 10-90% spread runs 0.63 to 1.91, so half the gauges carry a volume bias worse than 20% in one direction or the other.</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