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pStyle w:val="Heading2"/>
      </w:pPr>
      <w:r>
        <w:t>4.4 Global distribution</w:t>
      </w:r>
    </w:p>
    <w:p>
      <w:pPr>
        <w:jc w:val="center"/>
      </w:pPr>
      <w:r>
        <w:drawing>
          <wp:inline xmlns:a="http://schemas.openxmlformats.org/drawingml/2006/main" xmlns:pic="http://schemas.openxmlformats.org/drawingml/2006/picture">
            <wp:extent cx="5943600" cy="3145370"/>
            <wp:docPr id="1" name="Picture 1"/>
            <wp:cNvGraphicFramePr>
              <a:graphicFrameLocks noChangeAspect="1"/>
            </wp:cNvGraphicFramePr>
            <a:graphic>
              <a:graphicData uri="http://schemas.openxmlformats.org/drawingml/2006/picture">
                <pic:pic>
                  <pic:nvPicPr>
                    <pic:cNvPr id="0" name="global_map_target.png"/>
                    <pic:cNvPicPr/>
                  </pic:nvPicPr>
                  <pic:blipFill>
                    <a:blip r:embed="rId9"/>
                    <a:stretch>
                      <a:fillRect/>
                    </a:stretch>
                  </pic:blipFill>
                  <pic:spPr>
                    <a:xfrm>
                      <a:off x="0" y="0"/>
                      <a:ext cx="5943600" cy="3145370"/>
                    </a:xfrm>
                    <a:prstGeom prst="rect"/>
                  </pic:spPr>
                </pic:pic>
              </a:graphicData>
            </a:graphic>
          </wp:inline>
        </w:drawing>
      </w:r>
    </w:p>
    <w:p>
      <w:pPr>
        <w:jc w:val="center"/>
      </w:pPr>
      <w:r>
        <w:rPr>
          <w:sz w:val="18"/>
        </w:rPr>
        <w:t>Figure 4-1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