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251974105835" w:lineRule="auto"/>
        <w:ind w:left="7908.7286376953125" w:right="0" w:hanging="7908.72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1779" cy="6768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1779" cy="676893"/>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HEALTH &amp; HUMAN SERVICES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Health Service Food and Drug Administration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9606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Silver Spring MD 20993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1845703125" w:line="240" w:lineRule="auto"/>
        <w:ind w:left="1412.8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18, 2019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1412.8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Patti Smith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368225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IQVIA RDS Inc.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281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4820 Emperor Blvd-4</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Floor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888031005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Durham, NC 27703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1419.1279602050781"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 via email to: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patti.smith@iqvia.com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1412.8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Petitioner: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410.2481079101562" w:right="855.599365234375" w:firstLine="4.079895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petition to the Commissioner of Food and Drug Administration requesting to  designate an additional reference standard for Dicyclomine Hydrochloride Capsules in  the Approved Drug Products with Therapeutic Equivalence Evaluations since the current  reference standard is not available in the market was received by this office on  12/17/2019.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79876708984" w:lineRule="auto"/>
        <w:ind w:left="1413.8481140136719" w:right="927.60009765625" w:hanging="0.4798889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was assigned docket number FDA-2019-P-5970. Please refer to this docket number in  future correspondence on this subject with the Agency.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779876708984" w:lineRule="auto"/>
        <w:ind w:left="1412.88818359375" w:right="911.9714355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note that the acceptance of the petition for filing is a procedural matter in that it in no way reflects an agency decision on the substantive merits of the petition.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1419.128112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Sincerely,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048156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9.0481567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3115234375" w:line="240" w:lineRule="auto"/>
        <w:ind w:left="1412.8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Dynna Bigby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128112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Supervisory Administrative Proceedings Officer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888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Dockets Management Staff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1.928100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FDA/Office of Operations (OO)</w:t>
      </w:r>
    </w:p>
    <w:sectPr>
      <w:pgSz w:h="15840" w:w="12240" w:orient="portrait"/>
      <w:pgMar w:bottom="3696.0015869140625" w:top="566.280517578125" w:left="388.5517883300781" w:right="98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