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 &amp;&amp; numericValue &gt; range.low)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range.low;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57/63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99.4%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通过率计算过程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通过率 = 通过的测试用例数 ÷ 测试用例总数 × 100%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996"/>
        <w:gridCol w:w="5981"/>
        <w:gridCol w:w="1663"/>
      </w:tblGrid>
      <w:tr>
        <w:tc>
          <w:tcPr>
            <w:tcW w:type="dxa" w:w="996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阶段</w:t>
            </w:r>
          </w:p>
        </w:tc>
        <w:tc>
          <w:tcPr>
            <w:tcW w:type="dxa" w:w="5981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计算</w:t>
            </w:r>
          </w:p>
        </w:tc>
        <w:tc>
          <w:tcPr>
            <w:tcW w:type="dxa" w:w="1663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结果</w:t>
            </w:r>
          </w:p>
        </w:tc>
      </w:tr>
      <w:tr>
        <w:tc>
          <w:tcPr>
            <w:tcW w:type="dxa" w:w="996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修复前</w:t>
            </w:r>
          </w:p>
        </w:tc>
        <w:tc>
          <w:tcPr>
            <w:tcW w:type="dxa" w:w="598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 ÷ 1101 × 100%</w:t>
            </w:r>
          </w:p>
        </w:tc>
        <w:tc>
          <w:tcPr>
            <w:tcW w:type="dxa" w:w="1663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99.4%</w:t>
            </w:r>
          </w:p>
        </w:tc>
      </w:tr>
      <w:tr>
        <w:tc>
          <w:tcPr>
            <w:tcW w:type="dxa" w:w="996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修复后</w:t>
            </w:r>
          </w:p>
        </w:tc>
        <w:tc>
          <w:tcPr>
            <w:tcW w:type="dxa" w:w="598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1101 ÷ 1101 × 100%</w:t>
            </w:r>
          </w:p>
        </w:tc>
        <w:tc>
          <w:tcPr>
            <w:tcW w:type="dxa" w:w="1663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说明：修复前总测试用例 1101 个，其中 7 个失败（分布在 6 个文件，</w:t>
            </w:r>
            <w:r>
              <w:pict>
                <v:roundrect style="width:113.6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有 2 个失败），故通过数为 1101 − 7 = 1094；文件通过数为 63 − 6 = 57。修复后 7 个失败全部消除，通过数 = 总数 = 1101，文件全部 63 个通过。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