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5E"/>
          <w:sz w:val="56"/>
        </w:rPr>
        <w:t>河北省地下水环境信息平台</w:t>
      </w:r>
    </w:p>
    <w:p>
      <w:pPr>
        <w:jc w:val="center"/>
      </w:pPr>
      <w:r>
        <w:rPr>
          <w:color w:val="2C5F8A"/>
          <w:sz w:val="36"/>
        </w:rPr>
        <w:t>技术文档 v3.22.0</w:t>
      </w:r>
    </w:p>
    <w:p>
      <w:pPr>
        <w:jc w:val="center"/>
      </w:pPr>
      <w:r>
        <w:rPr>
          <w:color w:val="666666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sz w:val="24"/>
        </w:rPr>
        <w:t>1 项目概述</w:t>
      </w:r>
    </w:p>
    <w:p>
      <w:r>
        <w:rPr>
          <w:b w:val="0"/>
          <w:sz w:val="24"/>
        </w:rPr>
        <w:t>2 技术架构</w:t>
      </w:r>
    </w:p>
    <w:p>
      <w:r>
        <w:rPr>
          <w:b w:val="0"/>
          <w:sz w:val="24"/>
        </w:rPr>
        <w:t>3 页面模块清单</w:t>
      </w:r>
    </w:p>
    <w:p>
      <w:r>
        <w:rPr>
          <w:b w:val="0"/>
          <w:sz w:val="24"/>
        </w:rPr>
        <w:t>4 共享组件文档</w:t>
      </w:r>
    </w:p>
    <w:p>
      <w:r>
        <w:rPr>
          <w:b w:val="0"/>
          <w:sz w:val="24"/>
        </w:rPr>
        <w:t>5 数据字典</w:t>
      </w:r>
    </w:p>
    <w:p>
      <w:r>
        <w:rPr>
          <w:b w:val="0"/>
          <w:sz w:val="24"/>
        </w:rPr>
        <w:t>6 高级可视化组件</w:t>
      </w:r>
    </w:p>
    <w:p>
      <w:r>
        <w:rPr>
          <w:b w:val="0"/>
          <w:sz w:val="24"/>
        </w:rPr>
        <w:t>7 部署指南</w:t>
      </w:r>
    </w:p>
    <w:p>
      <w:r>
        <w:rPr>
          <w:b w:val="0"/>
          <w:sz w:val="24"/>
        </w:rPr>
        <w:t>8 版本变更日志</w:t>
      </w:r>
    </w:p>
    <w:p>
      <w:r>
        <w:rPr>
          <w:b w:val="0"/>
          <w:sz w:val="24"/>
        </w:rPr>
        <w:t>9 构建产物分析</w:t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pStyle w:val="Heading2"/>
      </w:pPr>
      <w:r>
        <w:t>1.1 平台定位</w:t>
      </w:r>
    </w:p>
    <w:p>
      <w:r>
        <w:t>河北省地下水环境信息平台是一款基于Web的地下水专业技术数据库与知识平台，面向河北省地下水环境影响评价、水文地质调查、碳核查等环保技术咨询服务场景，提供系统化的地下水基础数据检索、可视化分析与辅助决策支持。</w:t>
      </w:r>
    </w:p>
    <w:p>
      <w:pPr>
        <w:pStyle w:val="Heading2"/>
      </w:pPr>
      <w:r>
        <w:t>1.2 核心能力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能力域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水文地质基础资料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地质构造、第四纪地层、含水层组划分、水文地质参数、系统分区等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地下水资源评价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平原区水资源平衡、各市开采量、补给模数、可开采量评价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地下水环境质量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水质监测、地下水质量标准、污染程度评价、水化学分区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地下水超采与治理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浅/深层漏斗分布、超采区划定、水位恢复、取水许可管理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特种地下水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岩溶水、裂隙水、地热水、矿泉水、咸水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矿山水文地质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矿床充水条件、突水案例、矿井排水影响评价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环境地质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土壤盐渍化、咸水分布与利用、地下水功能区划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高级可视化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水文地质剖面图、含水层三维结构、等值线图、动态时间轴</w:t>
            </w:r>
          </w:p>
        </w:tc>
      </w:tr>
    </w:tbl>
    <w:p>
      <w:pPr>
        <w:pStyle w:val="Heading2"/>
      </w:pPr>
      <w:r>
        <w:t>1.3 技术参数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当前版本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v3.22.0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技术栈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React 18 + Vite 6.4 + TypeScript + Tailwind CSS + Recharts + React Router v6 + Zustand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页面数量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23 个独立路由页面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共享组件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30 个组件文件（约289KB源码）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数据模块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25 个数据模块（约435KB源码，233+ 导出项）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构建产物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45 文件，约 2.00 MB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PWA支持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是（Service Worker + manifest.json）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版本迭代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v1.0 → v3.22.0，累计44个版本记录</w:t>
            </w:r>
          </w:p>
        </w:tc>
      </w:tr>
    </w:tbl>
    <w:p>
      <w:pPr>
        <w:pStyle w:val="Heading1"/>
      </w:pPr>
      <w:r>
        <w:t>2 技术架构</w:t>
      </w:r>
    </w:p>
    <w:p>
      <w:pPr>
        <w:pStyle w:val="Heading2"/>
      </w:pPr>
      <w:r>
        <w:t>2.1 项目结构</w:t>
      </w:r>
    </w:p>
    <w:p>
      <w:r>
        <w:rPr>
          <w:rFonts w:ascii="Consolas" w:hAnsi="Consolas"/>
          <w:color w:val="C7254E"/>
          <w:sz w:val="18"/>
        </w:rPr>
        <w:t>frontend/</w:t>
        <w:br/>
        <w:t>├── public/              # 静态资源 (sw.js, manifest.json)</w:t>
        <w:br/>
        <w:t>├── src/</w:t>
        <w:br/>
        <w:t>│   ├── components/      # 30个共享组件</w:t>
        <w:br/>
        <w:t>│   ├── data/            # 25个数据模块</w:t>
        <w:br/>
        <w:t>│   ├── pages/           # 23个页面</w:t>
        <w:br/>
        <w:t>│   ├── App.tsx          # 路由配置(23路由)</w:t>
        <w:br/>
        <w:t>│   └── main.tsx         # 入口</w:t>
        <w:br/>
        <w:t>├── dist/                # 构建产物</w:t>
        <w:br/>
        <w:t>├── index.html</w:t>
        <w:br/>
        <w:t>└── vite.config.ts</w:t>
      </w:r>
    </w:p>
    <w:p>
      <w:pPr>
        <w:pStyle w:val="Heading2"/>
      </w:pPr>
      <w:r>
        <w:t>2.2 路由配置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页面组件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平台总览、全模块导航入口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/resources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地下水资源综合数据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/water-quality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WaterQuality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地下水质量评价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/environment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地下水环境（漏斗、沉降）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/exploitation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Exploitation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开采管理与超采控制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/hydrochemistry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Hydrochemistry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水化学特征与分区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/geology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Geology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地质构造与地层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/hydro-zone-params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HydroZoneParams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水文地质参数分区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/water-source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WaterSource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蓄水构造与水源地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/geothermal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Geothermal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地热资源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/mineral-water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MineralWater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矿泉水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/saline-water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SalineWater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咸水分布与利用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/saline-soil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SalineSoil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土壤盐渍化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/mine-hydrogeology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MineHydrogeology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矿山水文地质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/karst-water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KarstWater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岩溶水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/fracture-water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FractureWater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裂隙水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/map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MapView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地图标注总览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/data-insight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DataInsight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多维度数据交叉分析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/system-zoning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SystemZoning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地下水系统分区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/workspace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Workspace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个人工作台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/county-compare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CountyWaterCompare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县域水资源对比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/changelog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Changelog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版本变更日志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NotFound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404页面</w:t>
            </w:r>
          </w:p>
        </w:tc>
      </w:tr>
    </w:tbl>
    <w:p>
      <w:pPr>
        <w:pStyle w:val="Heading2"/>
      </w:pPr>
      <w:r>
        <w:t>2.3 数据层设计</w:t>
      </w:r>
    </w:p>
    <w:p>
      <w:r>
        <w:t>数据层采用纯静态TypeScript模块，所有数据以类型化常量形式内嵌于 .ts 文件中，无需后端API。数据模块通过命名导出暴露各主题数据集，页面组件按需导入。</w:t>
      </w:r>
    </w:p>
    <w:p>
      <w:r>
        <w:t>搜索机制：全局搜索基于 searchIndex.ts 预构建的倒排索引（kw()函数），搜索覆盖所有数据模块的中文关键词、拼音首字母缩写和英文术语。</w:t>
      </w:r>
    </w:p>
    <w:p>
      <w:r>
        <w:t>持久化：个人工作台使用IndexedDB实现浏览器端持久化存储，支持数据导入、标注笔记和收藏快照的跨会话保留。</w:t>
      </w:r>
    </w:p>
    <w:p>
      <w:r>
        <w:br w:type="page"/>
      </w:r>
    </w:p>
    <w:p>
      <w:pPr>
        <w:pStyle w:val="Heading1"/>
      </w:pPr>
      <w:r>
        <w:t>3 页面模块清单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sz w:val="18"/>
              </w:rPr>
              <w:t>页面文件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18"/>
              </w:rPr>
              <w:t>行数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/>
                <w:sz w:val="18"/>
              </w:rPr>
              <w:t>主要功能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Overview.tsx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107KB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5074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总览页：统计卡片、模块导航、历史演变、开采管理、水质概览、工具箱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DataInsight.tsx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98KB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1534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多维数据交叉分析：资源-水质-环境-开采四维度关联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Resources.tsx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93KB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1598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水资源：2024公报数据、历史对比、开采潜力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Geology.tsx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60KB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952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地质：构造单元、剖面图(HydroProfile)、含水层三维(Aquifer3D)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CountyWaterCompare.tsx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55KB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948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县域水资源对比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HydroZoneParams.tsx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46KB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772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参数分区：14个可筛选表格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Exploitation.tsx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43KB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685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开采管理 + 动态时间轴(TimeAxis)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Hydrochemistry.tsx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43KB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633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水化学类型分区、同位素分析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KarstWater.tsx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43KB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727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岩溶泉、岩溶系统分区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WaterQuality.tsx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42KB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水质监测、污染评价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Geothermal.tsx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38KB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586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地热田、地热梯度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WaterSource.tsx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35KB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558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蓄水构造类型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Environment.tsx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33KB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490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浅/深层漏斗等值线图(ContourMap)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MapView.tsx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30KB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649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多图层标注地图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MineHydrogeology.tsx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28KB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466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充水条件、突水案例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SystemZoning.tsx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23KB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373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地下水系统分区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FractureWater.tsx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24KB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434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裂隙水类型分区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SalineWater.tsx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22KB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333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咸水分布与利用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SalineSoil.tsx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22KB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344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土壤盐渍化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MineralWater.tsx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18KB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352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矿泉水产地与标准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Workspace.tsx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个人工作台（导入/标注/收藏/校验）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Changelog.tsx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版本变更日志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NotFound.tsx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404页面</w:t>
            </w:r>
          </w:p>
        </w:tc>
      </w:tr>
    </w:tbl>
    <w:p>
      <w:r>
        <w:br w:type="page"/>
      </w:r>
    </w:p>
    <w:p>
      <w:pPr>
        <w:pStyle w:val="Heading1"/>
      </w:pPr>
      <w:r>
        <w:t>4 共享组件文档</w:t>
      </w:r>
    </w:p>
    <w:p>
      <w:pPr>
        <w:pStyle w:val="Heading2"/>
      </w:pPr>
      <w:r>
        <w:t>4.1 基础UI组件 (UI.tsx)</w:t>
      </w:r>
    </w:p>
    <w:p>
      <w:r>
        <w:t>22个导出 / 30KB / 706行。平台最基础的UI组件集合，提供统一的视觉风格和交互模式。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18"/>
              </w:rPr>
              <w:t>导出名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SectionTitle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章节标题，支持图标、副标题、badge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TechCard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技术信息卡片容器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StatCard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统计数值卡片（数字+标签+趋势）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GlobalSearch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全局搜索框，基于searchIndex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ExportButton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数据导出按钮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TechTable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基础技术表格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ChartTooltip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图表统一Tooltip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DataStatusBadge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数据状态标签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TrendIndicator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趋势指示器（升/降/持平）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PageHeader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页面顶部标题栏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DataSourceNote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数据来源标注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Badge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通用徽章</w:t>
            </w:r>
          </w:p>
        </w:tc>
      </w:tr>
    </w:tbl>
    <w:p>
      <w:pPr>
        <w:pStyle w:val="Heading2"/>
      </w:pPr>
      <w:r>
        <w:t>4.2 SectionAccordion (SectionAccordion.tsx)</w:t>
      </w:r>
    </w:p>
    <w:p>
      <w:r>
        <w:t>2导出: SectionAccordion, SectionAccordionGroup / 5.6KB / 166行</w:t>
      </w:r>
    </w:p>
    <w:p>
      <w:r>
        <w:t>可折叠区域组件，用于Overview等页面的内容分组。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left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567"/>
          </w:tcPr>
          <w:p>
            <w:pPr>
              <w:jc w:val="left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区域标题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subtitle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副标题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badge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 | number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标题徽章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icon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React.ElementType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标题前图标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defaultOpen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默认展开状态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forceOpen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强制展开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children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React.ReactNode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子内容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className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自定义样式类</w:t>
            </w:r>
          </w:p>
        </w:tc>
      </w:tr>
    </w:tbl>
    <w:p>
      <w:pPr>
        <w:pStyle w:val="Heading2"/>
      </w:pPr>
      <w:r>
        <w:t>4.3 ContourMap (ContourMap.tsx)</w:t>
      </w:r>
    </w:p>
    <w:p>
      <w:r>
        <w:t>9.3KB / 286行。Canvas 2D绘制等值线/等值面图，IDW插值 + Marching Squares算法。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left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567"/>
          </w:tcPr>
          <w:p>
            <w:pPr>
              <w:jc w:val="left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图表标题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subtitle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副标题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ContourPoint[]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数据点（x, y, value）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colorScale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[number, string][]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色阶断点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数值单位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width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Canvas宽度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Canvas高度</w:t>
            </w:r>
          </w:p>
        </w:tc>
      </w:tr>
    </w:tbl>
    <w:p>
      <w:pPr>
        <w:pStyle w:val="Heading2"/>
      </w:pPr>
      <w:r>
        <w:t>4.4 TimeAxis (TimeAxis.tsx)</w:t>
      </w:r>
    </w:p>
    <w:p>
      <w:r>
        <w:t>8.6KB / 244行。Canvas 2D动画驱动时间轴，requestAnimationFrame + 播放/暂停/调速。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left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567"/>
          </w:tcPr>
          <w:p>
            <w:pPr>
              <w:jc w:val="left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时间轴标题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frames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TimeFrame[]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时间帧数据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metrics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{key, label, color}[]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指标定义</w:t>
            </w:r>
          </w:p>
        </w:tc>
      </w:tr>
    </w:tbl>
    <w:p>
      <w:pPr>
        <w:pStyle w:val="Heading2"/>
      </w:pPr>
      <w:r>
        <w:t>4.5 HydroProfile (HydroProfile.tsx)</w:t>
      </w:r>
    </w:p>
    <w:p>
      <w:r>
        <w:t>12.4KB / 268行。SVG绘制河北平原水文地质剖面图（山前-中部-滨海三带，深度0~600m）。</w:t>
      </w:r>
    </w:p>
    <w:p>
      <w:pPr>
        <w:pStyle w:val="Heading2"/>
      </w:pPr>
      <w:r>
        <w:t>4.6 Aquifer3D (Aquifer3D.tsx)</w:t>
      </w:r>
    </w:p>
    <w:p>
      <w:r>
        <w:t>8.4KB / 207行。CSS 3D Transform含水层结构（preserve-3d + 拖拽旋转）。</w:t>
      </w:r>
    </w:p>
    <w:p>
      <w:pPr>
        <w:pStyle w:val="Heading2"/>
      </w:pPr>
      <w:r>
        <w:t>4.7 其他工具组件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18"/>
              </w:rPr>
              <w:t>导出数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CrossLink.tsx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跨页面引用（CrossLinkPanel/InlineRef/BackToOverview/pageRelations）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DataImportPanel.tsx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CSV/JSON文件导入面板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AnnotationsPanel.tsx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笔记/勘误/参考/疑问标注面板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DataValidationPanel.tsx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字段校验/类型检查/范围验证面板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BookmarksPanel.tsx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页面收藏/搜索快照/分组管理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ComparePanel.tsx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对比面板（ComparePanel/StatRow/ProgressMetric）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Breadcrumbs.tsx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增强面包屑（支持tab锚点）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ChartAnnotation.tsx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图表标注（ChartRefLines/ChartRefDots/TrendBadge/SparkLine）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ChartInteraction.tsx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图表交互（useHighlightState/TabTransition等）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PageTransition.tsx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页面切换动画 + 骨架屏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ScrollProgress.tsx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滚动进度条 + 回到顶部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OfflineBanner.tsx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PWA离线提示横幅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InstallPrompt.tsx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PWA安装提示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ThemeToggle.tsx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明暗主题切换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KeyboardShortcuts.tsx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全局快捷键 + 帮助面板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Toast.tsx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全局通知（useToast/ToastProvider）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DataDashboard.tsx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数据概览仪表板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FilterableTechTable.tsx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可筛选技术表格（已替代22个TechTable）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TechTableFilterable.tsx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增强版可筛选表格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SectionWithFold.tsx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可折叠区域 + 滚动位置恢复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ChartLazy.tsx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图表懒加载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LazyChartCard.tsx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懒加载图表卡片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PrintPageHeader.tsx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打印页眉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PrintFooter.tsx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打印页脚 + 打印按钮</w:t>
            </w:r>
          </w:p>
        </w:tc>
      </w:tr>
    </w:tbl>
    <w:p>
      <w:r>
        <w:br w:type="page"/>
      </w:r>
    </w:p>
    <w:p>
      <w:pPr>
        <w:pStyle w:val="Heading1"/>
      </w:pPr>
      <w:r>
        <w:t>5 数据字典</w:t>
      </w:r>
    </w:p>
    <w:p>
      <w:pPr>
        <w:pStyle w:val="Heading2"/>
      </w:pPr>
      <w:r>
        <w:t>5.1 数据模块总览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18"/>
              </w:rPr>
              <w:t>数据模块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18"/>
              </w:rPr>
              <w:t>行数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/>
                <w:sz w:val="18"/>
              </w:rPr>
              <w:t>导出项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resources.ts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117KB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1483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29 (水资源公报2024、历史对比、各市数据)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searchIndex.ts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88KB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1127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 (searchIndex、SearchResult)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hydrogeologyHistorical.ts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51KB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649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43 (历史泉水、河流渗漏、径流模数)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changelog.ts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33KB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460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3 (changelog、dataSources、dbMeta)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geology.ts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21KB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10 (地质构造、第四纪地层)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systemZoning.ts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19KB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5 (系统分区、子系统)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mapData.ts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15 (地图标注、图层配置)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exploitation.ts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12 (取水许可、机井管理)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waterSource.ts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9 (蓄水构造、岩溶盆地)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geothermal.ts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14 (地热田、地热梯度)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mineHydrogeology.ts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8 (矿山水文地质、突水案例)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waterQuality.ts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18KB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11 (水质监测、质量标准)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hydrochemistry.ts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15 (水化学分区、同位素)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groundwaterResources.ts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10 (平原区水平衡、补给模数)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hydroParams.ts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15 (含水层参数、渗透系数)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fractureWater.ts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8 (裂隙水类型、分区)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zoneParams.ts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7 (系统分区参数、颜色配置)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karstWater.ts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9 (岩溶泉、开发利用)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salineSoil.ts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9 (盐渍化分布、治理措施)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salineWater.ts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9 (咸水分布、类型)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backgroundValues.ts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3 (地下水背景值)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groundwaterFunction.ts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6 (超采概览、功能区划)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10 (漏斗分布、演变)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mineralWater.ts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4 (矿泉水产地、标准)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hydrogeologyReference.ts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3KB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24 (参考统计数据)</w:t>
            </w:r>
          </w:p>
        </w:tc>
      </w:tr>
    </w:tbl>
    <w:p>
      <w:pPr>
        <w:pStyle w:val="Heading2"/>
      </w:pPr>
      <w:r>
        <w:t>5.2 核心数据集字段结构</w:t>
      </w:r>
    </w:p>
    <w:p>
      <w:pPr>
        <w:pStyle w:val="Heading3"/>
      </w:pPr>
      <w:r>
        <w:t>5.2.1 shallowCones2024 (浅层漏斗2024)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漏斗名称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center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漏斗中心位置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waterLevel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中心水位埋深（m）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当前漏斗面积（km2）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prevArea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上期漏斗面积（km2）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areaChange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面积变化量（km2）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levelChange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水位变化量（m）</w:t>
            </w:r>
          </w:p>
        </w:tc>
      </w:tr>
    </w:tbl>
    <w:p>
      <w:pPr>
        <w:pStyle w:val="Heading3"/>
      </w:pPr>
      <w:r>
        <w:t>5.2.2 geology (地质构造)</w:t>
      </w:r>
    </w:p>
    <w:p>
      <w:r>
        <w:t>地质构造数据集，涵盖河北平原构造单元、地层特征等。</w:t>
      </w:r>
    </w:p>
    <w:p>
      <w:pPr>
        <w:pStyle w:val="Heading3"/>
      </w:pPr>
      <w:r>
        <w:t>5.2.3 waterPermit2024 (取水许可2024)</w:t>
      </w:r>
    </w:p>
    <w:p>
      <w:r>
        <w:t>取水许可证数据集，记录各地市取水许可审批信息。</w:t>
      </w:r>
    </w:p>
    <w:p>
      <w:pPr>
        <w:pStyle w:val="Heading3"/>
      </w:pPr>
      <w:r>
        <w:t>5.2.4 waterResourceSummary2024 (水资源概要2024)</w:t>
      </w:r>
    </w:p>
    <w:p>
      <w:r>
        <w:t>基于《河北省水资源公报》的水资源综合数据，包含各市地下水供水量、开采量等核心指标。</w:t>
      </w:r>
    </w:p>
    <w:p>
      <w:r>
        <w:br w:type="page"/>
      </w:r>
    </w:p>
    <w:p>
      <w:pPr>
        <w:pStyle w:val="Heading1"/>
      </w:pPr>
      <w:r>
        <w:t>6 高级可视化组件</w:t>
      </w:r>
    </w:p>
    <w:p>
      <w:pPr>
        <w:pStyle w:val="Heading2"/>
      </w:pPr>
      <w:r>
        <w:t>6.1 HydroProfile - SVG水文地质剖面图</w:t>
      </w:r>
    </w:p>
    <w:p>
      <w:r>
        <w:t>12.4KB / 268行 / 集成: Geology.tsx (stratigraphy tab)</w:t>
      </w:r>
    </w:p>
    <w:p>
      <w:r>
        <w:t>功能特性：</w:t>
      </w:r>
    </w:p>
    <w:p>
      <w:pPr>
        <w:pStyle w:val="ListBullet"/>
      </w:pPr>
      <w:r>
        <w:t>SVG绘制河北平原典型水文地质剖面</w:t>
      </w:r>
    </w:p>
    <w:p>
      <w:pPr>
        <w:pStyle w:val="ListBullet"/>
      </w:pPr>
      <w:r>
        <w:t>三带分区：山前冲洪积带 → 中部冲积湖积带 → 滨海海积带</w:t>
      </w:r>
    </w:p>
    <w:p>
      <w:pPr>
        <w:pStyle w:val="ListBullet"/>
      </w:pPr>
      <w:r>
        <w:t>深度范围0~600m，含水层/隔水层岩性标注</w:t>
      </w:r>
    </w:p>
    <w:p>
      <w:pPr>
        <w:pStyle w:val="ListBullet"/>
      </w:pPr>
      <w:r>
        <w:t>defs定义岩性pattern（砂砾石、中粗砂、细砂、黏土等）</w:t>
      </w:r>
    </w:p>
    <w:p>
      <w:pPr>
        <w:pStyle w:val="ListBullet"/>
      </w:pPr>
      <w:r>
        <w:t>悬停Tooltip显示岩性详情</w:t>
      </w:r>
    </w:p>
    <w:p>
      <w:pPr>
        <w:pStyle w:val="Heading2"/>
      </w:pPr>
      <w:r>
        <w:t>6.2 Aquifer3D - CSS 3D含水层结构</w:t>
      </w:r>
    </w:p>
    <w:p>
      <w:r>
        <w:t>8.4KB / 207行 / 集成: Geology.tsx (aquifer tab)</w:t>
      </w:r>
    </w:p>
    <w:p>
      <w:pPr>
        <w:pStyle w:val="ListBullet"/>
      </w:pPr>
      <w:r>
        <w:t>CSS 3D Transform (preserve-3d + rotateX/Y + translateZ)</w:t>
      </w:r>
    </w:p>
    <w:p>
      <w:pPr>
        <w:pStyle w:val="ListBullet"/>
      </w:pPr>
      <w:r>
        <w:t>鼠标拖拽旋转交互</w:t>
      </w:r>
    </w:p>
    <w:p>
      <w:pPr>
        <w:pStyle w:val="ListBullet"/>
      </w:pPr>
      <w:r>
        <w:t>点击各层查看参数信息弹窗</w:t>
      </w:r>
    </w:p>
    <w:p>
      <w:pPr>
        <w:pStyle w:val="ListBullet"/>
      </w:pPr>
      <w:r>
        <w:t>无需Three.js，纯CSS实现</w:t>
      </w:r>
    </w:p>
    <w:p>
      <w:pPr>
        <w:pStyle w:val="Heading2"/>
      </w:pPr>
      <w:r>
        <w:t>6.3 ContourMap - Canvas等值线图</w:t>
      </w:r>
    </w:p>
    <w:p>
      <w:r>
        <w:t>9.3KB / 286行 / 集成: Environment.tsx (shallow/deep tab)</w:t>
      </w:r>
    </w:p>
    <w:p>
      <w:pPr>
        <w:pStyle w:val="ListBullet"/>
      </w:pPr>
      <w:r>
        <w:t>Canvas 2D绘制等值线/等值面填充图</w:t>
      </w:r>
    </w:p>
    <w:p>
      <w:pPr>
        <w:pStyle w:val="ListBullet"/>
      </w:pPr>
      <w:r>
        <w:t>IDW（反距离加权）插值生成规则网格</w:t>
      </w:r>
    </w:p>
    <w:p>
      <w:pPr>
        <w:pStyle w:val="ListBullet"/>
      </w:pPr>
      <w:r>
        <w:t>Marching Squares算法提取等值线</w:t>
      </w:r>
    </w:p>
    <w:p>
      <w:pPr>
        <w:pStyle w:val="ListBullet"/>
      </w:pPr>
      <w:r>
        <w:t>自定义色阶断点（colorScale）</w:t>
      </w:r>
    </w:p>
    <w:p>
      <w:pPr>
        <w:pStyle w:val="ListBullet"/>
      </w:pPr>
      <w:r>
        <w:t>悬停Tooltip显示坐标和插值</w:t>
      </w:r>
    </w:p>
    <w:p>
      <w:pPr>
        <w:pStyle w:val="Heading2"/>
      </w:pPr>
      <w:r>
        <w:t>6.4 TimeAxis - Canvas动态时间轴</w:t>
      </w:r>
    </w:p>
    <w:p>
      <w:r>
        <w:t>8.6KB / 244行 / 集成: Exploitation.tsx (trend/milestones tab)</w:t>
      </w:r>
    </w:p>
    <w:p>
      <w:pPr>
        <w:pStyle w:val="ListBullet"/>
      </w:pPr>
      <w:r>
        <w:t>requestAnimationFrame驱动逐帧渲染</w:t>
      </w:r>
    </w:p>
    <w:p>
      <w:pPr>
        <w:pStyle w:val="ListBullet"/>
      </w:pPr>
      <w:r>
        <w:t>播放/暂停按钮 + 播放速度调节</w:t>
      </w:r>
    </w:p>
    <w:p>
      <w:pPr>
        <w:pStyle w:val="ListBullet"/>
      </w:pPr>
      <w:r>
        <w:t>进度条拖拽跳转</w:t>
      </w:r>
    </w:p>
    <w:p>
      <w:pPr>
        <w:pStyle w:val="ListBullet"/>
      </w:pPr>
      <w:r>
        <w:t>多指标叠加显示</w:t>
      </w:r>
    </w:p>
    <w:p>
      <w:r>
        <w:br w:type="page"/>
      </w:r>
    </w:p>
    <w:p>
      <w:pPr>
        <w:pStyle w:val="Heading1"/>
      </w:pPr>
      <w:r>
        <w:t>7 部署指南</w:t>
      </w:r>
    </w:p>
    <w:p>
      <w:pPr>
        <w:pStyle w:val="Heading2"/>
      </w:pPr>
      <w:r>
        <w:t>7.1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依赖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v18+（推荐v20 LTS）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包管理器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npm / pnpm / yarn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Web服务器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Nginx / Apache / Caddy（需支持SPA路由）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推荐（PWA Service Worker要求HTTPS或localhost）</w:t>
            </w:r>
          </w:p>
        </w:tc>
      </w:tr>
    </w:tbl>
    <w:p>
      <w:pPr>
        <w:pStyle w:val="Heading2"/>
      </w:pPr>
      <w:r>
        <w:t>7.2 构建命令</w:t>
      </w:r>
    </w:p>
    <w:p>
      <w:r>
        <w:rPr>
          <w:rFonts w:ascii="Consolas" w:hAnsi="Consolas"/>
          <w:color w:val="C7254E"/>
          <w:sz w:val="18"/>
        </w:rPr>
        <w:t>cd frontend &amp;&amp; npm install &amp;&amp; npm run build</w:t>
      </w:r>
    </w:p>
    <w:p>
      <w:r>
        <w:t>构建产物输出到 frontend/dist/ 目录，约2.00MB（45文件）。</w:t>
      </w:r>
    </w:p>
    <w:p>
      <w:pPr>
        <w:pStyle w:val="Heading2"/>
      </w:pPr>
      <w:r>
        <w:t>7.3 Nginx配置</w:t>
      </w:r>
    </w:p>
    <w:p>
      <w:r>
        <w:rPr>
          <w:rFonts w:ascii="Consolas" w:hAnsi="Consolas"/>
          <w:color w:val="C7254E"/>
          <w:sz w:val="18"/>
        </w:rPr>
        <w:t>server {</w:t>
        <w:br/>
        <w:t xml:space="preserve">    listen 80;</w:t>
        <w:br/>
        <w:t xml:space="preserve">    server_name your-domain.com;</w:t>
        <w:br/>
        <w:t xml:space="preserve">    root /path/to/frontend/dist;</w:t>
        <w:br/>
        <w:t xml:space="preserve">    index index.html;</w:t>
        <w:br/>
        <w:br/>
        <w:t xml:space="preserve">    # SPA路由回退</w:t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# 静态资源长缓存</w:t>
        <w:br/>
        <w:t xml:space="preserve">    location /assets/ {</w:t>
        <w:br/>
        <w:t xml:space="preserve">        expires 1y;</w:t>
        <w:br/>
        <w:t xml:space="preserve">        add_header Cache-Control "public, immutable";</w:t>
        <w:br/>
        <w:t xml:space="preserve">    }</w:t>
        <w:br/>
        <w:br/>
        <w:t xml:space="preserve">    # Service Worker不缓存</w:t>
        <w:br/>
        <w:t xml:space="preserve">    location /sw.js {</w:t>
        <w:br/>
        <w:t xml:space="preserve">        add_header Cache-Control "no-cache";</w:t>
        <w:br/>
        <w:t xml:space="preserve">        expires off;</w:t>
        <w:br/>
        <w:t xml:space="preserve">    }</w:t>
        <w:br/>
        <w:br/>
        <w:t xml:space="preserve">    # Gzip压缩</w:t>
        <w:br/>
        <w:t xml:space="preserve">    gzip on;</w:t>
        <w:br/>
        <w:t xml:space="preserve">    gzip_types text/css application/javascript;</w:t>
        <w:br/>
        <w:t>}</w:t>
      </w:r>
    </w:p>
    <w:p>
      <w:pPr>
        <w:pStyle w:val="Heading2"/>
      </w:pPr>
      <w:r>
        <w:t>7.4 PWA离线缓存策略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适用资源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Pre-cache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全部44个构建资产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SW安装时缓存所有静态文件（约2MB）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Stale-While-Revalidate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CSS/JS/字体/图片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优先返回缓存，后台更新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Network First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HTML导航请求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优先网络，失败回退缓存</w:t>
            </w:r>
          </w:p>
        </w:tc>
      </w:tr>
    </w:tbl>
    <w:p>
      <w:r>
        <w:t>版本更新机制：每次构建自动生成 precache-manifest.json，SW激活时对比清单，自动清理过期缓存。</w:t>
      </w:r>
    </w:p>
    <w:p>
      <w:pPr>
        <w:pStyle w:val="Heading2"/>
      </w:pPr>
      <w:r>
        <w:t>7.5 部署检查清单</w:t>
      </w:r>
    </w:p>
    <w:p>
      <w:r>
        <w:t>1. 构建产物完整性：确认dist/包含index.html + assets/ + sw.js + manifest.json</w:t>
      </w:r>
    </w:p>
    <w:p>
      <w:r>
        <w:t>2. SPA路由配置：确认Nginx try_files配置正确</w:t>
      </w:r>
    </w:p>
    <w:p>
      <w:r>
        <w:t>3. HTTPS启用：PWA Service Worker在HTTP下不可用</w:t>
      </w:r>
    </w:p>
    <w:p>
      <w:r>
        <w:t>4. Service Worker注册：DevTools → Application → Service Workers确认</w:t>
      </w:r>
    </w:p>
    <w:p>
      <w:r>
        <w:t>5. 离线测试：Network面板Offline模式，刷新确认可用</w:t>
      </w:r>
    </w:p>
    <w:p>
      <w:r>
        <w:br w:type="page"/>
      </w:r>
    </w:p>
    <w:p>
      <w:pPr>
        <w:pStyle w:val="Heading1"/>
      </w:pPr>
      <w:r>
        <w:t>8 版本变更日志</w:t>
      </w:r>
    </w:p>
    <w:p>
      <w:pPr>
        <w:pStyle w:val="Heading2"/>
      </w:pPr>
      <w:r>
        <w:t>8.1 Phase 1: 基础搭建 (v1.0 ~ v2.6)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left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/>
                <w:sz w:val="18"/>
              </w:rPr>
              <w:t>主要内容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2026-05-09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初始发布，基础数据展示框架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2026-05-10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16项功能增强（数据结构优化、页面扩展）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v2.1~v2.6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2026-05-17~18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核心模块扩展，水资源/水质/环境/地质等页面完善</w:t>
            </w:r>
          </w:p>
        </w:tc>
      </w:tr>
    </w:tbl>
    <w:p>
      <w:pPr>
        <w:pStyle w:val="Heading2"/>
      </w:pPr>
      <w:r>
        <w:t>8.2 Phase 2: 数据深挖 (v3.2 ~ v3.15)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left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/>
                <w:sz w:val="18"/>
              </w:rPr>
              <w:t>主要内容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2026-05-19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大规模数据扩充（4次迭代38项功能）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v3.5~v3.9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2026-05-19~29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10个版本，特种水/参数/分区数据补充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v3.10~v3.15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2026-05-29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12个版本，精细化数据和UI优化</w:t>
            </w:r>
          </w:p>
        </w:tc>
      </w:tr>
    </w:tbl>
    <w:p>
      <w:pPr>
        <w:pStyle w:val="Heading2"/>
      </w:pPr>
      <w:r>
        <w:t>8.3 Phase 3: Phase5开发规划 (v3.16 ~ v3.22)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left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/>
                <w:sz w:val="18"/>
              </w:rPr>
              <w:t>主要内容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v3.16.0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2026-06-13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B16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数据深挖续：Resources开采潜力Tab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v3.17.0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2026-06-13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B14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技术债务清理：Overview补全Toast通知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v3.18.0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2026-06-13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B15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PWA离线支持：Service Worker + manifest + 安装提示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v3.19.0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2026-06-13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B16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开采潜力评价、地下水污染现状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v3.20.0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2026-06-14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B17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Overview恢复7个Section + 22表格升级FilterableTechTable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v3.21.0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2026-06-14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B17~B18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面包屑增强 + 四面板工作台 + 全模块入口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v3.22.0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2026-06-14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B19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高级可视化：HydroProfile + Aquifer3D + ContourMap + TimeAxis</w:t>
            </w:r>
          </w:p>
        </w:tc>
      </w:tr>
    </w:tbl>
    <w:p>
      <w:pPr>
        <w:pStyle w:val="Heading1"/>
      </w:pPr>
      <w:r>
        <w:t>9 构建产物分析</w:t>
      </w:r>
    </w:p>
    <w:p>
      <w:pPr>
        <w:pStyle w:val="Heading2"/>
      </w:pPr>
      <w:r>
        <w:t>9.1 产物总览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总文件数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总大小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2.00 MB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JS最大文件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vendor-recharts (445.5KB)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CSS文件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index.css (58.0KB)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页面分块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17个懒加载chunk</w:t>
            </w:r>
          </w:p>
        </w:tc>
      </w:tr>
    </w:tbl>
    <w:p>
      <w:pPr>
        <w:pStyle w:val="Heading2"/>
      </w:pPr>
      <w:r>
        <w:t>9.2 Top 15 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vendor-recharts.js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445.5KB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Recharts图表库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data-modules.js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250.3KB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数据模块集合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index.js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186.0KB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应用入口 + React运行时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vendor-react.js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175.8KB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React核心 + ReactDOM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data-resources.js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79.2KB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Resources数据块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DataInsight.js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69.7KB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DataInsight页面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data-search.js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68.1KB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搜索索引数据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Overview.js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65.4KB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Overview页面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Resources.js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61.2KB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Resources页面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index.css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58.0KB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全局样式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Geology.js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54.1KB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Geology页面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vendor-lucide.js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44.3KB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Lucide图标库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Exploitation.js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35.8KB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Exploitation页面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Hydrochemistry.js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32.6KB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Hydrochemistry页面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HydroZoneParams.js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32.2KB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HydroZoneParams页面</w:t>
            </w:r>
          </w:p>
        </w:tc>
      </w:tr>
    </w:tbl>
    <w:p>
      <w:pPr>
        <w:pStyle w:val="Heading2"/>
      </w:pPr>
      <w:r>
        <w:t>9.3 包体积优化建议</w:t>
      </w:r>
    </w:p>
    <w:p>
      <w:pPr>
        <w:pStyle w:val="ListBullet"/>
      </w:pPr>
      <w:r>
        <w:t>Recharts（445.5KB）：如仅需基础图表，可考虑ECharts按需引入（约200KB）或Chart.js替代</w:t>
      </w:r>
    </w:p>
    <w:p>
      <w:pPr>
        <w:pStyle w:val="ListBullet"/>
      </w:pPr>
      <w:r>
        <w:t>数据模块（250.3KB）：数据量持续增长时建议拆分为JSON文件动态加载</w:t>
      </w:r>
    </w:p>
    <w:p>
      <w:pPr>
        <w:pStyle w:val="ListBullet"/>
      </w:pPr>
      <w:r>
        <w:t>搜索索引（68.1KB）：可通过Web Worker预加载减少首屏阻塞</w:t>
      </w:r>
    </w:p>
    <w:p>
      <w:pPr>
        <w:pStyle w:val="ListBullet"/>
      </w:pPr>
      <w:r>
        <w:t>当前2MB总量：对于PWA离线缓存完全可接受，precache策略确保离线可用</w:t>
      </w:r>
    </w:p>
    <w:p/>
    <w:p>
      <w:pPr>
        <w:jc w:val="center"/>
      </w:pPr>
      <w:r>
        <w:rPr>
          <w:color w:val="999999"/>
          <w:sz w:val="18"/>
        </w:rPr>
        <w:t>本文档由河北省地下水环境信息平台 B20 文档与交付阶段生成，版本 v3.22.0，生成日期 2026年6月16日。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A3C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A3C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2C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3A7AB5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