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hint="eastAsia"/>
          <w:sz w:val="36"/>
          <w:szCs w:val="36"/>
          <w:lang w:val="en-US" w:eastAsia="zh-CN"/>
        </w:rPr>
      </w:pPr>
      <w:bookmarkStart w:id="0" w:name="_GoBack"/>
      <w:bookmarkEnd w:id="0"/>
      <w:r>
        <w:rPr>
          <w:sz w:val="36"/>
          <w:szCs w:val="36"/>
          <w:lang w:val="en-US"/>
        </w:rPr>
        <w:t>2024</w:t>
      </w:r>
      <w:r>
        <w:rPr>
          <w:rFonts w:hint="eastAsia"/>
          <w:sz w:val="36"/>
          <w:szCs w:val="36"/>
          <w:lang w:val="en-US" w:eastAsia="zh-CN"/>
        </w:rPr>
        <w:t>年土壤地理学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一、判断题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、干旱、半干旱、半湿润地区土壤盐基不饱和；温带、亚热带地区土壤盐基饱和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、阳离子代换能力。铝离子＞钙离子＞氢离子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、砂质土田间持水量小，但萎焉系数小，所以有效水范围却大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、土壤与大气间气体交换以扩散为主，由于土壤不断进行生物化学反应以及生物活动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、矿质化在好气状态下，分解速度慢，分解不彻底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、伊利石以及蒙脱石都是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膨胀型矿石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、木本植物以及草本植物土壤剖面的腐殖质变化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、土壤黑色深浅与腐殖质有关，一般指肥力高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、土壤的矿物质是土壤的“骨骼”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层的界定与定义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、随着土壤</w:t>
      </w:r>
      <w:r>
        <w:rPr>
          <w:rFonts w:hint="default"/>
          <w:lang w:val="en-US" w:eastAsia="zh-CN"/>
        </w:rPr>
        <w:t>PH</w:t>
      </w:r>
      <w:r>
        <w:rPr>
          <w:rFonts w:hint="eastAsia"/>
          <w:lang w:val="en-US" w:eastAsia="zh-CN"/>
        </w:rPr>
        <w:t>的升高，负电荷逐渐减少，交换量也减少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、从暗棕壤到棕壤黄壤，其粘化作用逐渐加强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13</w:t>
      </w:r>
      <w:r>
        <w:rPr>
          <w:rFonts w:hint="eastAsia"/>
          <w:lang w:val="en-US" w:eastAsia="zh-CN"/>
        </w:rPr>
        <w:t>、发育程度与时间的关系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、胶粒电荷性质取决于外层电荷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15</w:t>
      </w:r>
      <w:r>
        <w:rPr>
          <w:rFonts w:hint="eastAsia"/>
          <w:lang w:val="en-US" w:eastAsia="zh-CN"/>
        </w:rPr>
        <w:t>、在干冷气候下，氧化铁与氧化铝容易富集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二、名词解释题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、土壤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、次生矿物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、矿质化作用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、土壤资源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、诊断层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三、简答题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、地质大循环与生物小循环的区别和联系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、形成因素学说基本观点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、土壤纬度地带性分布规律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、土壤发生学分类缺点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、富铝土成土过程的特点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四、填图题</w:t>
      </w:r>
    </w:p>
    <w:p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p210  </w:t>
      </w:r>
      <w:r>
        <w:rPr>
          <w:rFonts w:hint="eastAsia"/>
          <w:lang w:eastAsia="zh-CN"/>
        </w:rPr>
        <w:t>图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－</w:t>
      </w:r>
      <w:r>
        <w:rPr>
          <w:rFonts w:hint="default"/>
          <w:lang w:val="en-US" w:eastAsia="zh-CN"/>
        </w:rPr>
        <w:t xml:space="preserve">18 </w:t>
      </w:r>
      <w:r>
        <w:rPr>
          <w:rFonts w:hint="eastAsia"/>
          <w:lang w:eastAsia="zh-CN"/>
        </w:rPr>
        <w:t xml:space="preserve"> 中国土壤水平地带分布模式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五、论述题</w:t>
      </w:r>
    </w:p>
    <w:p>
      <w:pPr>
        <w:pStyle w:val="style0"/>
        <w:rPr/>
      </w:pPr>
      <w:r>
        <w:rPr>
          <w:rFonts w:hint="eastAsia"/>
          <w:lang w:eastAsia="zh-CN"/>
        </w:rPr>
        <w:t>举出提升我国南方红壤区水稻土肥力三种措施并说明理由。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500</Words>
  <Characters>514</Characters>
  <Application>WPS Office</Application>
  <Paragraphs>37</Paragraphs>
  <CharactersWithSpaces>518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2024-06-28T09:46:41Z</dcterms:created>
  <dc:creator>OPD2201</dc:creator>
  <lastModifiedBy>OPD2201</lastModifiedBy>
  <dcterms:modified xsi:type="dcterms:W3CDTF">2024-06-28T10:07:47Z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3c7917b1c01943bcb51e73b281933a95_21</vt:lpwstr>
  </property>
</Properties>
</file>