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选择题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1、14世纪，资本主义发展、地理大发现促进经济地理学前身（？）产生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2、经济地理学根本特征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3、韦伯工业区位论中，将成本归为三种为（？）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4、影响区域空间结构形成和发展的机制中，最基本力量是（？）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5、基础性产业功能表现为（？）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6、企业镇长动因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7、雁行形态。第一只大雁为（？）浪潮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判断题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经济地理学研究的经济活动环境含义。（单纯为经济环境吗？）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市场秩序管理自发调节吗？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地理可进入性</w:t>
      </w:r>
      <w:bookmarkStart w:id="0" w:name="_GoBack"/>
      <w:bookmarkEnd w:id="0"/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普雷特的行为矩阵。（区位决策合理性取决于决策时信息占有量及决策者信息利用能力？）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弗农产品周期理论。（跨国直接投资均发生在成熟产品阶段吗？）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产业功能分类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区域经济发展（=区域经济增长吗？）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地方化（民族化）与经济全球化（相悖吗？）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中心地理论（货物供应点出现频率与其等级关系）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泰勒公司组织变形与区域演化过程。（首先跨越信息空间再跨越活动空间最后跨越决策空间吗？）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问答题</w:t>
      </w:r>
    </w:p>
    <w:p>
      <w:pPr>
        <w:numPr>
          <w:ilvl w:val="0"/>
          <w:numId w:val="3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跨国公司总部区位要求？实际区位趋向于何处？为什么？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公平目标与效益目标含义，两者关系？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简述循环累计因果原理并举例说明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简述演化经济地理学理论框架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简述零售业区位变化主要态势表现在哪些方面</w:t>
      </w:r>
    </w:p>
    <w:p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简述三次产业结构演变规律及其机制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原卷为本人考场后记忆，大部分为要点。尽量不要传阅。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考试加油！学弟学妹！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712C7"/>
    <w:multiLevelType w:val="singleLevel"/>
    <w:tmpl w:val="9A3712C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987950D"/>
    <w:multiLevelType w:val="singleLevel"/>
    <w:tmpl w:val="A98795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73D387B"/>
    <w:multiLevelType w:val="singleLevel"/>
    <w:tmpl w:val="073D38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QwMWJlMzI1NDdiZDhmM2EwMDM5NzRiNzVlZmY5ZGIifQ=="/>
  </w:docVars>
  <w:rsids>
    <w:rsidRoot w:val="00000000"/>
    <w:rsid w:val="1AA3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2024-06-13T12:46:53Z</dcterms:created>
  <dc:creator>86178</dc:creator>
  <cp:lastModifiedBy>你好哇~</cp:lastModifiedBy>
  <dcterms:modified xsi:type="dcterms:W3CDTF">2024-06-13T13:05:56Z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A335400DA02C47E49BE928D3F629FD92_12</vt:lpwstr>
  </property>
</Properties>
</file>