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650" w:firstLineChars="6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16594"/>
      <w:bookmarkStart w:id="1" w:name="_Toc21254"/>
      <w:bookmarkStart w:id="2" w:name="_Toc26299"/>
      <w:bookmarkStart w:id="3" w:name="_Toc22828"/>
      <w:bookmarkStart w:id="4" w:name="_Toc12395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  <w:bookmarkEnd w:id="2"/>
      <w:bookmarkEnd w:id="3"/>
      <w:bookmarkEnd w:id="4"/>
    </w:p>
    <w:p>
      <w:pPr>
        <w:spacing w:line="360" w:lineRule="auto"/>
        <w:ind w:firstLine="2891" w:firstLineChars="900"/>
        <w:jc w:val="both"/>
        <w:outlineLvl w:val="0"/>
        <w:rPr>
          <w:rFonts w:ascii="黑体" w:hAnsi="黑体" w:eastAsia="黑体"/>
          <w:b/>
          <w:sz w:val="32"/>
          <w:szCs w:val="32"/>
        </w:rPr>
      </w:pPr>
      <w:bookmarkStart w:id="5" w:name="_Toc10902"/>
      <w:bookmarkStart w:id="6" w:name="_Toc13175"/>
      <w:bookmarkStart w:id="7" w:name="_Toc30268"/>
      <w:bookmarkStart w:id="8" w:name="_Toc4440"/>
      <w:bookmarkStart w:id="9" w:name="_Toc20371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5"/>
      <w:bookmarkEnd w:id="6"/>
      <w:bookmarkEnd w:id="7"/>
      <w:bookmarkEnd w:id="8"/>
      <w:bookmarkEnd w:id="9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both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60" w:firstLineChars="300"/>
        <w:jc w:val="both"/>
        <w:textAlignment w:val="auto"/>
        <w:outlineLvl w:val="0"/>
        <w:rPr>
          <w:rFonts w:ascii="黑体" w:eastAsia="黑体"/>
          <w:sz w:val="52"/>
          <w:szCs w:val="52"/>
        </w:rPr>
      </w:pPr>
      <w:bookmarkStart w:id="10" w:name="_Toc17754"/>
      <w:bookmarkStart w:id="11" w:name="_Toc105"/>
      <w:bookmarkStart w:id="12" w:name="_Toc31821"/>
      <w:bookmarkStart w:id="13" w:name="_Toc11789"/>
      <w:bookmarkStart w:id="14" w:name="_Toc5873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实验室设备管理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10"/>
      <w:bookmarkEnd w:id="11"/>
      <w:bookmarkEnd w:id="12"/>
      <w:bookmarkEnd w:id="13"/>
      <w:bookmarkEnd w:id="14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15" w:name="_Toc8985"/>
      <w:bookmarkStart w:id="16" w:name="_Toc31183"/>
      <w:bookmarkStart w:id="17" w:name="_Toc31280"/>
      <w:bookmarkStart w:id="18" w:name="_Toc1000"/>
      <w:bookmarkStart w:id="19" w:name="_Toc6151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15"/>
      <w:bookmarkEnd w:id="16"/>
      <w:bookmarkEnd w:id="17"/>
      <w:bookmarkEnd w:id="18"/>
      <w:bookmarkEnd w:id="19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1960" w:firstLineChars="700"/>
        <w:outlineLvl w:val="0"/>
        <w:rPr>
          <w:sz w:val="28"/>
          <w:szCs w:val="28"/>
        </w:rPr>
      </w:pPr>
      <w:bookmarkStart w:id="20" w:name="_Toc14706"/>
      <w:bookmarkStart w:id="21" w:name="_Toc30156"/>
      <w:bookmarkStart w:id="22" w:name="_Toc32296"/>
      <w:bookmarkStart w:id="23" w:name="_Toc24960"/>
      <w:bookmarkStart w:id="24" w:name="_Toc2650"/>
      <w:r>
        <w:rPr>
          <w:rFonts w:hint="eastAsia"/>
          <w:sz w:val="28"/>
          <w:szCs w:val="28"/>
        </w:rPr>
        <w:t>组长姓名：</w:t>
      </w:r>
      <w:r>
        <w:rPr>
          <w:rFonts w:hint="eastAsia"/>
          <w:sz w:val="28"/>
          <w:szCs w:val="28"/>
          <w:u w:val="single"/>
          <w:lang w:val="en-US" w:eastAsia="zh-CN"/>
        </w:rPr>
        <w:t>何林潞</w:t>
      </w:r>
      <w:bookmarkEnd w:id="20"/>
      <w:bookmarkEnd w:id="21"/>
      <w:bookmarkEnd w:id="22"/>
      <w:r>
        <w:rPr>
          <w:sz w:val="28"/>
          <w:szCs w:val="28"/>
          <w:u w:val="single"/>
        </w:rPr>
        <w:t xml:space="preserve">   </w:t>
      </w:r>
      <w:bookmarkEnd w:id="23"/>
      <w:bookmarkEnd w:id="24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</w:p>
    <w:p>
      <w:pPr>
        <w:spacing w:line="360" w:lineRule="auto"/>
        <w:ind w:firstLine="1960" w:firstLineChars="700"/>
        <w:outlineLvl w:val="0"/>
        <w:rPr>
          <w:sz w:val="28"/>
          <w:szCs w:val="28"/>
          <w:u w:val="single"/>
        </w:rPr>
      </w:pPr>
      <w:bookmarkStart w:id="25" w:name="_Toc7096"/>
      <w:bookmarkStart w:id="26" w:name="_Toc20112"/>
      <w:bookmarkStart w:id="27" w:name="_Toc716"/>
      <w:bookmarkStart w:id="28" w:name="_Toc21748"/>
      <w:bookmarkStart w:id="29" w:name="_Toc14867"/>
      <w:r>
        <w:rPr>
          <w:rFonts w:hint="eastAsia"/>
          <w:sz w:val="28"/>
          <w:szCs w:val="28"/>
        </w:rPr>
        <w:t>组长学号：</w:t>
      </w:r>
      <w:r>
        <w:rPr>
          <w:rFonts w:hint="eastAsia"/>
          <w:sz w:val="28"/>
          <w:szCs w:val="28"/>
          <w:u w:val="single"/>
          <w:lang w:val="en-US" w:eastAsia="zh-CN"/>
        </w:rPr>
        <w:t>1008519270224</w:t>
      </w:r>
      <w:bookmarkEnd w:id="25"/>
      <w:bookmarkEnd w:id="26"/>
      <w:bookmarkEnd w:id="27"/>
      <w:r>
        <w:rPr>
          <w:sz w:val="28"/>
          <w:szCs w:val="28"/>
          <w:u w:val="single"/>
        </w:rPr>
        <w:t xml:space="preserve">   </w:t>
      </w:r>
      <w:bookmarkEnd w:id="28"/>
      <w:bookmarkEnd w:id="2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1960" w:firstLineChars="700"/>
        <w:outlineLvl w:val="0"/>
        <w:rPr>
          <w:rFonts w:hint="eastAsia"/>
          <w:sz w:val="28"/>
          <w:szCs w:val="28"/>
          <w:u w:val="single"/>
          <w:lang w:val="en-US" w:eastAsia="zh-CN"/>
        </w:rPr>
      </w:pPr>
      <w:bookmarkStart w:id="30" w:name="_Toc21423"/>
      <w:bookmarkStart w:id="31" w:name="_Toc29800"/>
      <w:bookmarkStart w:id="32" w:name="_Toc13883"/>
      <w:bookmarkStart w:id="33" w:name="_Toc8052"/>
      <w:bookmarkStart w:id="34" w:name="_Toc14697"/>
      <w:r>
        <w:rPr>
          <w:rFonts w:hint="eastAsia"/>
          <w:sz w:val="28"/>
          <w:szCs w:val="28"/>
          <w:lang w:val="en-US" w:eastAsia="zh-CN"/>
        </w:rPr>
        <w:t>小</w:t>
      </w:r>
      <w:r>
        <w:rPr>
          <w:rFonts w:hint="eastAsia"/>
          <w:sz w:val="28"/>
          <w:szCs w:val="28"/>
        </w:rPr>
        <w:t>组成员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>马喆锘、冉繁强、吴瑞、高</w:t>
      </w:r>
      <w:bookmarkEnd w:id="30"/>
      <w:bookmarkEnd w:id="31"/>
      <w:bookmarkEnd w:id="32"/>
    </w:p>
    <w:p>
      <w:pPr>
        <w:spacing w:line="360" w:lineRule="auto"/>
        <w:ind w:firstLine="3360" w:firstLineChars="1200"/>
        <w:outlineLvl w:val="0"/>
        <w:rPr>
          <w:rFonts w:hint="default"/>
          <w:sz w:val="28"/>
          <w:szCs w:val="28"/>
          <w:u w:val="single"/>
          <w:lang w:val="en-US"/>
        </w:rPr>
      </w:pPr>
      <w:bookmarkStart w:id="35" w:name="_Toc4927"/>
      <w:bookmarkStart w:id="36" w:name="_Toc32640"/>
      <w:bookmarkStart w:id="37" w:name="_Toc25738"/>
      <w:r>
        <w:rPr>
          <w:rFonts w:hint="eastAsia"/>
          <w:sz w:val="28"/>
          <w:szCs w:val="28"/>
          <w:u w:val="single"/>
          <w:lang w:val="en-US" w:eastAsia="zh-CN"/>
        </w:rPr>
        <w:t>新颖、马贺君、刘佳星</w:t>
      </w:r>
      <w:bookmarkEnd w:id="33"/>
      <w:bookmarkEnd w:id="34"/>
      <w:bookmarkEnd w:id="35"/>
      <w:bookmarkEnd w:id="36"/>
      <w:bookmarkEnd w:id="37"/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</w:p>
    <w:p>
      <w:pPr>
        <w:spacing w:line="360" w:lineRule="auto"/>
        <w:ind w:firstLine="1960" w:firstLineChars="700"/>
        <w:outlineLvl w:val="0"/>
        <w:rPr>
          <w:sz w:val="28"/>
          <w:szCs w:val="28"/>
        </w:rPr>
      </w:pPr>
      <w:bookmarkStart w:id="38" w:name="_Toc20021"/>
      <w:bookmarkStart w:id="39" w:name="_Toc1461"/>
      <w:bookmarkStart w:id="40" w:name="_Toc6581"/>
      <w:bookmarkStart w:id="41" w:name="_Toc21616"/>
      <w:bookmarkStart w:id="42" w:name="_Toc25270"/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bookmarkEnd w:id="38"/>
      <w:bookmarkEnd w:id="39"/>
      <w:bookmarkEnd w:id="40"/>
      <w:r>
        <w:rPr>
          <w:sz w:val="28"/>
          <w:szCs w:val="28"/>
          <w:u w:val="single"/>
        </w:rPr>
        <w:t xml:space="preserve">  </w:t>
      </w:r>
      <w:bookmarkEnd w:id="41"/>
      <w:bookmarkEnd w:id="42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43" w:name="_Toc15534"/>
      <w:bookmarkStart w:id="44" w:name="_Toc8332"/>
      <w:bookmarkStart w:id="45" w:name="_Toc10009"/>
      <w:bookmarkStart w:id="46" w:name="_Toc9294"/>
      <w:bookmarkStart w:id="47" w:name="_Toc21620"/>
      <w:bookmarkStart w:id="48" w:name="_Toc10906"/>
      <w:bookmarkStart w:id="49" w:name="_Toc11296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43"/>
      <w:bookmarkEnd w:id="44"/>
      <w:bookmarkEnd w:id="45"/>
      <w:bookmarkEnd w:id="46"/>
      <w:bookmarkEnd w:id="47"/>
      <w:bookmarkEnd w:id="48"/>
      <w:bookmarkEnd w:id="4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50" w:name="_Toc2498"/>
      <w:bookmarkStart w:id="51" w:name="_Toc5043"/>
      <w:bookmarkStart w:id="52" w:name="_Toc28939"/>
      <w:bookmarkStart w:id="53" w:name="_Toc16067"/>
      <w:bookmarkStart w:id="54" w:name="_Toc32191"/>
      <w:bookmarkStart w:id="55" w:name="_Toc3923"/>
      <w:bookmarkStart w:id="56" w:name="_Toc1857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50"/>
      <w:bookmarkEnd w:id="51"/>
      <w:bookmarkEnd w:id="52"/>
      <w:bookmarkEnd w:id="53"/>
      <w:bookmarkEnd w:id="54"/>
      <w:bookmarkEnd w:id="55"/>
      <w:bookmarkEnd w:id="56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186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  <w:bookmarkStart w:id="57" w:name="_Toc19497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right="0" w:rightChars="0" w:firstLine="3654" w:firstLineChars="1300"/>
            <w:jc w:val="both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_Toc31727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(一)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系统功能模块详细设计与实现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_Toc31727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480" w:firstLineChars="200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_Toc31934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.2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实验室设备管理功能模块总时序图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_Toc31934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480" w:firstLineChars="200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_Toc19100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查询设备信息时序图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480" w:firstLineChars="200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_Toc19598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添加设备信息时序图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_Toc19598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480" w:firstLineChars="200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_Toc11975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修改设备信息时序图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_Toc11975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480" w:firstLineChars="200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_Toc4061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报废设备信息时序图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_Toc4061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instrText xml:space="preserve"> HYPERLINK \l _Toc21893 </w:instrText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(二)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、实验室设备管理系统类图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_Toc21893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 w:ascii="宋体" w:hAnsi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rFonts w:hint="eastAsia" w:ascii="宋体" w:hAnsi="宋体"/>
              <w:b/>
              <w:sz w:val="30"/>
              <w:szCs w:val="30"/>
              <w:lang w:val="en-US" w:eastAsia="zh-CN"/>
            </w:rPr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bookmarkEnd w:id="57"/>
    <w:p>
      <w:pPr>
        <w:snapToGrid w:val="0"/>
        <w:spacing w:before="0" w:after="0" w:line="360" w:lineRule="auto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58" w:name="_Toc5476"/>
      <w:bookmarkStart w:id="59" w:name="_Toc25396"/>
      <w:bookmarkStart w:id="60" w:name="_Toc9954"/>
      <w:bookmarkStart w:id="61" w:name="_Toc13203"/>
    </w:p>
    <w:p>
      <w:pPr>
        <w:snapToGrid w:val="0"/>
        <w:spacing w:before="0" w:after="0" w:line="360" w:lineRule="auto"/>
        <w:jc w:val="both"/>
        <w:outlineLvl w:val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62" w:name="_Toc31727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(一)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系统功能模块详细设计与实现</w:t>
      </w:r>
      <w:bookmarkEnd w:id="58"/>
      <w:bookmarkEnd w:id="59"/>
      <w:bookmarkEnd w:id="60"/>
      <w:bookmarkEnd w:id="61"/>
      <w:bookmarkEnd w:id="62"/>
    </w:p>
    <w:p>
      <w:pPr>
        <w:snapToGrid w:val="0"/>
        <w:spacing w:before="0" w:after="0" w:line="360" w:lineRule="auto"/>
        <w:ind w:right="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实验室设备管理系统是保护更新设备器材必不可少的模块，用来对实验室的设备进行查询、维修、购买、更新和报废等的操作。其中所有工作由专门人员负责完成，其他人不得任意使用。每件设备在做入库登记时均由系统按类别加自动顺序号编号，形成设备号；设备报废时要及时修改相应的设备记录，且有领导认可。最后，本系统的数据存储至少包括：设备记录、修理记录、报废记录、申请购买记录。本系统的输入项至少包括：新设备信息、修理信息、申请购买信息、具体查询统计要求。本系统的输出项至少包括：设备购买申请表、修理/报废设备资金统计表。程序如图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1.1</w:t>
      </w:r>
      <w:r>
        <w:rPr>
          <w:rFonts w:ascii="宋体" w:hAnsi="宋体" w:eastAsia="宋体"/>
          <w:color w:val="000000"/>
          <w:sz w:val="24"/>
          <w:szCs w:val="24"/>
        </w:rPr>
        <w:t>所示：</w:t>
      </w:r>
    </w:p>
    <w:p>
      <w:pPr>
        <w:snapToGrid w:val="0"/>
        <w:spacing w:before="0" w:after="0" w:line="360" w:lineRule="auto"/>
        <w:ind w:right="0" w:firstLine="0"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712085" cy="214312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360" w:lineRule="auto"/>
        <w:ind w:firstLine="0"/>
        <w:jc w:val="center"/>
        <w:rPr>
          <w:rFonts w:hint="eastAsia" w:ascii="宋体" w:hAnsi="宋体" w:eastAsia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>图1.1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2"/>
          <w:szCs w:val="22"/>
        </w:rPr>
        <w:t>实验室设备管理功能总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2"/>
          <w:szCs w:val="22"/>
          <w:lang w:val="en-US" w:eastAsia="zh-CN"/>
        </w:rPr>
        <w:t>流程图</w:t>
      </w:r>
    </w:p>
    <w:p>
      <w:pPr>
        <w:snapToGrid w:val="0"/>
        <w:spacing w:before="0" w:after="0" w:line="36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图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1.1</w:t>
      </w:r>
      <w:r>
        <w:rPr>
          <w:rFonts w:ascii="宋体" w:hAnsi="宋体" w:eastAsia="宋体"/>
          <w:color w:val="000000"/>
          <w:sz w:val="24"/>
          <w:szCs w:val="24"/>
        </w:rPr>
        <w:t>显示每学年要对实验室设备使用情况进行统计、更新。此实验系统主要包括四个模块：设备查询、设备维修、设备购买、设备报废。当进行设备购买时，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当进行设备报废时，对于已彻底损坏的做报废处理，同时详细记录有关信息。设备报废时要及时修改相应的设备记录，且有领导认可。</w:t>
      </w:r>
    </w:p>
    <w:p>
      <w:pPr>
        <w:snapToGrid w:val="0"/>
        <w:spacing w:before="0" w:after="0" w:line="360" w:lineRule="auto"/>
        <w:ind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63" w:name="_Toc29193"/>
      <w:bookmarkStart w:id="64" w:name="_Toc22008"/>
      <w:bookmarkStart w:id="65" w:name="_Toc26402"/>
      <w:bookmarkStart w:id="66" w:name="_Toc7650"/>
    </w:p>
    <w:p>
      <w:pPr>
        <w:snapToGrid w:val="0"/>
        <w:spacing w:before="0" w:after="0" w:line="360" w:lineRule="auto"/>
        <w:ind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firstLine="0"/>
        <w:jc w:val="both"/>
        <w:outlineLvl w:val="2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67" w:name="_Toc31934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.2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实验室设备管理功能模块总时序图</w:t>
      </w:r>
      <w:bookmarkEnd w:id="63"/>
      <w:bookmarkEnd w:id="64"/>
      <w:bookmarkEnd w:id="65"/>
      <w:bookmarkEnd w:id="66"/>
      <w:bookmarkEnd w:id="67"/>
    </w:p>
    <w:p>
      <w:pPr>
        <w:snapToGrid w:val="0"/>
        <w:spacing w:before="0" w:after="0" w:line="360" w:lineRule="auto"/>
        <w:ind w:firstLine="0"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935095" cy="2729865"/>
            <wp:effectExtent l="0" t="0" r="1206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360" w:lineRule="auto"/>
        <w:ind w:firstLine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>图1.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2"/>
          <w:szCs w:val="22"/>
        </w:rPr>
        <w:t>实验室设备管理功能模块总时序图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right="0" w:firstLine="480" w:firstLineChars="200"/>
        <w:jc w:val="both"/>
        <w:textAlignment w:val="auto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实验系统主要包括四个模块：设备查询、设备维修、设备购买、设备报废。</w:t>
      </w:r>
    </w:p>
    <w:p>
      <w:pPr>
        <w:snapToGrid w:val="0"/>
        <w:spacing w:before="0" w:after="0" w:line="360" w:lineRule="auto"/>
        <w:ind w:right="0"/>
        <w:jc w:val="both"/>
        <w:outlineLvl w:val="2"/>
        <w:rPr>
          <w:rFonts w:ascii="宋体" w:hAnsi="宋体" w:eastAsia="宋体"/>
          <w:color w:val="000000"/>
          <w:sz w:val="28"/>
          <w:szCs w:val="28"/>
        </w:rPr>
      </w:pPr>
      <w:bookmarkStart w:id="68" w:name="_Toc27412"/>
      <w:bookmarkStart w:id="69" w:name="_Toc714"/>
      <w:bookmarkStart w:id="70" w:name="_Toc11942"/>
      <w:bookmarkStart w:id="71" w:name="_Toc24958"/>
      <w:bookmarkStart w:id="72" w:name="_Toc19100"/>
      <w:bookmarkStart w:id="93" w:name="_GoBack"/>
      <w:bookmarkEnd w:id="93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查询设备信息时序图</w:t>
      </w:r>
      <w:bookmarkEnd w:id="68"/>
      <w:bookmarkEnd w:id="69"/>
      <w:bookmarkEnd w:id="70"/>
      <w:bookmarkEnd w:id="71"/>
      <w:bookmarkEnd w:id="72"/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816610</wp:posOffset>
            </wp:positionH>
            <wp:positionV relativeFrom="paragraph">
              <wp:posOffset>9525</wp:posOffset>
            </wp:positionV>
            <wp:extent cx="3517900" cy="2347595"/>
            <wp:effectExtent l="0" t="0" r="2540" b="146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0" w:after="0" w:line="360" w:lineRule="auto"/>
        <w:ind w:firstLine="2420" w:firstLineChars="1100"/>
        <w:jc w:val="left"/>
        <w:rPr>
          <w:rFonts w:hint="default" w:ascii="宋体" w:hAnsi="宋体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color w:val="000000"/>
          <w:sz w:val="22"/>
          <w:szCs w:val="22"/>
          <w:lang w:val="en-US" w:eastAsia="zh-CN"/>
        </w:rPr>
        <w:t>图1.3查询设备信息时序图</w:t>
      </w:r>
    </w:p>
    <w:p>
      <w:pPr>
        <w:spacing w:before="0" w:after="0" w:line="360" w:lineRule="auto"/>
        <w:ind w:firstLine="42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设备查询：对现有设备及其修理、报废情况进行统计、查询，要求能够按类别和时间段等查询</w:t>
      </w:r>
    </w:p>
    <w:p>
      <w:pPr>
        <w:snapToGrid w:val="0"/>
        <w:spacing w:before="0" w:after="0" w:line="360" w:lineRule="auto"/>
        <w:ind w:right="0"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73" w:name="_Toc6676"/>
      <w:bookmarkStart w:id="74" w:name="_Toc20884"/>
      <w:bookmarkStart w:id="75" w:name="_Toc22544"/>
      <w:bookmarkStart w:id="76" w:name="_Toc17831"/>
    </w:p>
    <w:p>
      <w:pPr>
        <w:snapToGrid w:val="0"/>
        <w:spacing w:before="0" w:after="0" w:line="360" w:lineRule="auto"/>
        <w:ind w:right="0"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right="0"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right="0"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right="0" w:firstLine="0"/>
        <w:jc w:val="both"/>
        <w:outlineLvl w:val="9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right="0" w:firstLine="0"/>
        <w:jc w:val="both"/>
        <w:outlineLvl w:val="2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77" w:name="_Toc19598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添加设备信息时序图</w:t>
      </w:r>
      <w:bookmarkEnd w:id="73"/>
      <w:bookmarkEnd w:id="74"/>
      <w:bookmarkEnd w:id="75"/>
      <w:bookmarkEnd w:id="76"/>
      <w:bookmarkEnd w:id="77"/>
    </w:p>
    <w:p>
      <w:pPr>
        <w:snapToGrid w:val="0"/>
        <w:spacing w:before="0" w:after="0" w:line="360" w:lineRule="auto"/>
        <w:ind w:right="0" w:firstLine="0"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455160" cy="2578100"/>
            <wp:effectExtent l="0" t="0" r="1016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360" w:lineRule="auto"/>
        <w:ind w:right="0" w:firstLine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2"/>
          <w:szCs w:val="22"/>
          <w:lang w:val="en-US" w:eastAsia="zh-CN"/>
        </w:rPr>
        <w:t>图1.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2"/>
          <w:szCs w:val="2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2"/>
          <w:szCs w:val="22"/>
          <w:lang w:val="en-US" w:eastAsia="zh-CN"/>
        </w:rPr>
        <w:t>添加设备信息时序图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firstLineChars="200"/>
        <w:jc w:val="both"/>
        <w:textAlignment w:val="auto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设备购买：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</w:t>
      </w:r>
    </w:p>
    <w:p>
      <w:pPr>
        <w:snapToGrid w:val="0"/>
        <w:spacing w:before="0" w:after="0" w:line="360" w:lineRule="auto"/>
        <w:ind w:right="0" w:firstLine="0"/>
        <w:jc w:val="both"/>
        <w:outlineLvl w:val="2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78" w:name="_Toc7295"/>
      <w:bookmarkStart w:id="79" w:name="_Toc22273"/>
      <w:bookmarkStart w:id="80" w:name="_Toc26954"/>
      <w:bookmarkStart w:id="81" w:name="_Toc15990"/>
      <w:bookmarkStart w:id="82" w:name="_Toc11975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修改设备信息时序图</w:t>
      </w:r>
      <w:bookmarkEnd w:id="78"/>
      <w:bookmarkEnd w:id="79"/>
      <w:bookmarkEnd w:id="80"/>
      <w:bookmarkEnd w:id="81"/>
      <w:bookmarkEnd w:id="82"/>
    </w:p>
    <w:p>
      <w:pPr>
        <w:snapToGrid w:val="0"/>
        <w:spacing w:before="0" w:after="0" w:line="360" w:lineRule="auto"/>
        <w:ind w:right="0" w:firstLine="0"/>
        <w:jc w:val="both"/>
        <w:rPr>
          <w:rFonts w:hint="eastAsia" w:ascii="宋体" w:hAnsi="宋体" w:eastAsia="宋体"/>
          <w:color w:val="000000"/>
          <w:sz w:val="20"/>
          <w:szCs w:val="20"/>
          <w:lang w:eastAsia="zh-CN"/>
        </w:rPr>
      </w:pP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 xml:space="preserve">       </w:t>
      </w:r>
      <w:r>
        <w:rPr>
          <w:rFonts w:hint="eastAsia" w:ascii="宋体" w:hAnsi="宋体" w:eastAsia="宋体"/>
          <w:color w:val="000000"/>
          <w:sz w:val="20"/>
          <w:szCs w:val="20"/>
          <w:lang w:eastAsia="zh-CN"/>
        </w:rPr>
        <w:drawing>
          <wp:inline distT="0" distB="0" distL="114300" distR="114300">
            <wp:extent cx="4705350" cy="3112135"/>
            <wp:effectExtent l="0" t="0" r="3810" b="12065"/>
            <wp:docPr id="40" name="图片 4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360" w:lineRule="auto"/>
        <w:ind w:right="0" w:firstLine="2730" w:firstLineChars="1300"/>
        <w:jc w:val="both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图1.5修改设备信息时序图</w:t>
      </w:r>
    </w:p>
    <w:p>
      <w:pPr>
        <w:snapToGrid w:val="0"/>
        <w:spacing w:before="0" w:after="0" w:line="360" w:lineRule="auto"/>
        <w:ind w:firstLineChars="20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设备维修：对于由严重问题（故障）的要及时修理，并记录修理日期、设备名、编号、修理厂家、修理费用、责任人等。</w:t>
      </w:r>
      <w:bookmarkStart w:id="83" w:name="_Toc18200"/>
    </w:p>
    <w:p>
      <w:pPr>
        <w:snapToGrid w:val="0"/>
        <w:spacing w:before="0" w:after="0" w:line="360" w:lineRule="auto"/>
        <w:ind w:right="0" w:firstLine="0"/>
        <w:jc w:val="both"/>
        <w:outlineLvl w:val="2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84" w:name="_Toc42"/>
      <w:bookmarkStart w:id="85" w:name="_Toc13134"/>
      <w:bookmarkStart w:id="86" w:name="_Toc8737"/>
      <w:bookmarkStart w:id="87" w:name="_Toc4061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报废设备信息时序图</w:t>
      </w:r>
      <w:bookmarkEnd w:id="83"/>
      <w:bookmarkEnd w:id="84"/>
      <w:bookmarkEnd w:id="85"/>
      <w:bookmarkEnd w:id="86"/>
      <w:bookmarkEnd w:id="87"/>
    </w:p>
    <w:p>
      <w:pPr>
        <w:snapToGrid w:val="0"/>
        <w:spacing w:before="0" w:after="0" w:line="360" w:lineRule="auto"/>
        <w:ind w:right="0" w:firstLine="0"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038600" cy="2457450"/>
            <wp:effectExtent l="0" t="0" r="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right="0" w:firstLine="0"/>
        <w:jc w:val="center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>图1.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>报废设备信息时序图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Chars="0" w:firstLineChars="200"/>
        <w:jc w:val="both"/>
        <w:textAlignment w:val="auto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设备报废：对于已彻底损坏的做报废处理，同时详细记录有关信息。设备报废时要及时修改相应的设备记录，且有领导认。</w:t>
      </w:r>
    </w:p>
    <w:p>
      <w:pPr>
        <w:snapToGrid w:val="0"/>
        <w:spacing w:before="0" w:after="0" w:line="360" w:lineRule="auto"/>
        <w:ind w:right="0" w:firstLine="0"/>
        <w:jc w:val="both"/>
        <w:outlineLvl w:val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bookmarkStart w:id="88" w:name="_Toc21191"/>
      <w:bookmarkStart w:id="89" w:name="_Toc2262"/>
      <w:bookmarkStart w:id="90" w:name="_Toc2951"/>
      <w:bookmarkStart w:id="91" w:name="_Toc4855"/>
      <w:bookmarkStart w:id="92" w:name="_Toc21893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(二)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、实验室设备管理系统类图</w:t>
      </w:r>
      <w:bookmarkEnd w:id="88"/>
      <w:bookmarkEnd w:id="89"/>
      <w:bookmarkEnd w:id="90"/>
      <w:bookmarkEnd w:id="91"/>
      <w:bookmarkEnd w:id="92"/>
    </w:p>
    <w:p>
      <w:pPr>
        <w:snapToGrid w:val="0"/>
        <w:spacing w:before="0" w:after="0" w:line="360" w:lineRule="auto"/>
        <w:ind w:firstLine="0"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048250" cy="35147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360" w:lineRule="auto"/>
        <w:ind w:firstLine="0"/>
        <w:jc w:val="center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>图2.1实验室设备管理类图</w:t>
      </w:r>
    </w:p>
    <w:p>
      <w:pPr>
        <w:snapToGrid w:val="0"/>
        <w:spacing w:before="0" w:after="0" w:line="360" w:lineRule="auto"/>
        <w:ind w:firstLine="480" w:firstLineChars="200"/>
        <w:jc w:val="both"/>
        <w:rPr>
          <w:rFonts w:hint="eastAsia" w:ascii="宋体" w:hAnsi="宋体" w:eastAsia="宋体"/>
          <w:b/>
          <w:bCs/>
          <w:color w:val="000000"/>
          <w:spacing w:val="0"/>
          <w:sz w:val="32"/>
          <w:szCs w:val="32"/>
          <w:lang w:val="en-US" w:eastAsia="zh-CN"/>
        </w:rPr>
      </w:pPr>
      <w:r>
        <w:rPr>
          <w:rFonts w:ascii="宋体" w:hAnsi="宋体" w:eastAsia="宋体"/>
          <w:color w:val="000000"/>
          <w:spacing w:val="0"/>
          <w:sz w:val="24"/>
          <w:szCs w:val="24"/>
        </w:rPr>
        <w:t>如图</w:t>
      </w:r>
      <w:r>
        <w:rPr>
          <w:rFonts w:hint="eastAsia" w:ascii="宋体" w:hAnsi="宋体" w:eastAsia="宋体"/>
          <w:color w:val="000000"/>
          <w:spacing w:val="0"/>
          <w:sz w:val="24"/>
          <w:szCs w:val="24"/>
          <w:lang w:val="en-US" w:eastAsia="zh-CN"/>
        </w:rPr>
        <w:t>2.1</w:t>
      </w:r>
      <w:r>
        <w:rPr>
          <w:rFonts w:ascii="宋体" w:hAnsi="宋体" w:eastAsia="宋体"/>
          <w:color w:val="000000"/>
          <w:spacing w:val="0"/>
          <w:sz w:val="24"/>
          <w:szCs w:val="24"/>
        </w:rPr>
        <w:t>所示，登录之后可以分为四个模板，分别为设备查询、设备报废、设备购买、设备维修。管理员登录可以进行多次登录，分别管理四个模板，设备查询可以进行多次，对设备的报废、维修之后对这些情况进行查询。专门管理员对这些情况进行统计、查询之后报备给领导。</w: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2E3AFC"/>
    <w:rsid w:val="041623A4"/>
    <w:rsid w:val="06B677C8"/>
    <w:rsid w:val="09B46DC0"/>
    <w:rsid w:val="0A3E6BE2"/>
    <w:rsid w:val="0DA82368"/>
    <w:rsid w:val="0DCD4EA0"/>
    <w:rsid w:val="0DFE68FB"/>
    <w:rsid w:val="10415813"/>
    <w:rsid w:val="12433BBF"/>
    <w:rsid w:val="128A478B"/>
    <w:rsid w:val="144E69E7"/>
    <w:rsid w:val="197514B5"/>
    <w:rsid w:val="1E486BAA"/>
    <w:rsid w:val="1F9C29C5"/>
    <w:rsid w:val="21DB4E16"/>
    <w:rsid w:val="243C0180"/>
    <w:rsid w:val="26131B7B"/>
    <w:rsid w:val="28D87BCE"/>
    <w:rsid w:val="2A82720B"/>
    <w:rsid w:val="2B6A1528"/>
    <w:rsid w:val="2C0F2027"/>
    <w:rsid w:val="2F43057B"/>
    <w:rsid w:val="324513D8"/>
    <w:rsid w:val="356F29AB"/>
    <w:rsid w:val="38BC3EB0"/>
    <w:rsid w:val="3C900121"/>
    <w:rsid w:val="3E291B32"/>
    <w:rsid w:val="3E5679BD"/>
    <w:rsid w:val="3F242972"/>
    <w:rsid w:val="413907CD"/>
    <w:rsid w:val="46614D94"/>
    <w:rsid w:val="481678AF"/>
    <w:rsid w:val="48CB6C3D"/>
    <w:rsid w:val="4A351CDA"/>
    <w:rsid w:val="4A912A97"/>
    <w:rsid w:val="4B4A6332"/>
    <w:rsid w:val="4C8469CC"/>
    <w:rsid w:val="4CC13A0A"/>
    <w:rsid w:val="4DA0748B"/>
    <w:rsid w:val="4F91641D"/>
    <w:rsid w:val="50FD0941"/>
    <w:rsid w:val="51477EF9"/>
    <w:rsid w:val="521F0737"/>
    <w:rsid w:val="53E26A91"/>
    <w:rsid w:val="55403095"/>
    <w:rsid w:val="55A14D8C"/>
    <w:rsid w:val="58F27D04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7531551"/>
    <w:rsid w:val="6941421A"/>
    <w:rsid w:val="6CF834A6"/>
    <w:rsid w:val="7622312A"/>
    <w:rsid w:val="79BD5764"/>
    <w:rsid w:val="79C8167D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何林潞</cp:lastModifiedBy>
  <dcterms:modified xsi:type="dcterms:W3CDTF">2021-06-23T07:33:44Z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B2EC050B1CF3472E97C60339DFAE0385</vt:lpwstr>
  </property>
</Properties>
</file>