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WaveCounter — Master Index</w:t>
      </w:r>
    </w:p>
    <w:p>
      <w:pPr>
        <w:pStyle w:val="Heading2"/>
      </w:pPr>
      <w:r>
        <w:t>A. Core WLRT (CANONICAL)</w:t>
      </w:r>
    </w:p>
    <w:p>
      <w:pPr>
        <w:pStyle w:val="ListBullet"/>
      </w:pPr>
      <w:r>
        <w:t>WLRT — Wave Liquidity Redistribution Theory</w:t>
      </w:r>
    </w:p>
    <w:p>
      <w:pPr>
        <w:pStyle w:val="ListBullet"/>
      </w:pPr>
      <w:r>
        <w:t>Core Principles (P1–P5)</w:t>
      </w:r>
    </w:p>
    <w:p>
      <w:pPr>
        <w:pStyle w:val="ListBullet"/>
      </w:pPr>
      <w:r>
        <w:t>Local Fragility Index (LFI)</w:t>
      </w:r>
    </w:p>
    <w:p>
      <w:pPr>
        <w:pStyle w:val="ListBullet"/>
      </w:pPr>
      <w:r>
        <w:t>Phase Model (0→6, irreversibility of phase 6)</w:t>
      </w:r>
    </w:p>
    <w:p>
      <w:pPr>
        <w:pStyle w:val="ListBullet"/>
      </w:pPr>
      <w:r>
        <w:t>Cross-system liquidity dynamics</w:t>
      </w:r>
    </w:p>
    <w:p>
      <w:pPr>
        <w:pStyle w:val="ListBullet"/>
      </w:pPr>
      <w:r>
        <w:t>Reflexive limits of WLRT</w:t>
      </w:r>
    </w:p>
    <w:p>
      <w:pPr>
        <w:pStyle w:val="Heading2"/>
      </w:pPr>
      <w:r>
        <w:t>B. WLRT Versions</w:t>
      </w:r>
    </w:p>
    <w:p>
      <w:pPr>
        <w:pStyle w:val="ListBullet"/>
      </w:pPr>
      <w:r>
        <w:t>v1.0–v1.3.1 — archived</w:t>
      </w:r>
    </w:p>
    <w:p>
      <w:pPr>
        <w:pStyle w:val="ListBullet"/>
      </w:pPr>
      <w:r>
        <w:t>v2.0 — frozen</w:t>
      </w:r>
    </w:p>
    <w:p>
      <w:pPr>
        <w:pStyle w:val="ListBullet"/>
      </w:pPr>
      <w:r>
        <w:t>v2.1 — frozen (dimensionless metrics)</w:t>
      </w:r>
    </w:p>
    <w:p>
      <w:pPr>
        <w:pStyle w:val="ListBullet"/>
      </w:pPr>
      <w:r>
        <w:t>v3.0 — canonical, submission-ready</w:t>
      </w:r>
    </w:p>
    <w:p>
      <w:pPr>
        <w:pStyle w:val="ListBullet"/>
      </w:pPr>
      <w:r>
        <w:t>v4.0 — planned</w:t>
      </w:r>
    </w:p>
    <w:p>
      <w:pPr>
        <w:pStyle w:val="Heading2"/>
      </w:pPr>
      <w:r>
        <w:t>C. Research Branches</w:t>
      </w:r>
    </w:p>
    <w:p>
      <w:pPr>
        <w:pStyle w:val="ListBullet"/>
      </w:pPr>
      <w:r>
        <w:t>Liquidity Pool Sections (S1–S4, BS) — active</w:t>
      </w:r>
    </w:p>
    <w:p>
      <w:pPr>
        <w:pStyle w:val="ListBullet"/>
      </w:pPr>
      <w:r>
        <w:t>Ultra-short WLRT regimes — active</w:t>
      </w:r>
    </w:p>
    <w:p>
      <w:pPr>
        <w:pStyle w:val="ListBullet"/>
      </w:pPr>
      <w:r>
        <w:t>Reflexive participants — frozen</w:t>
      </w:r>
    </w:p>
    <w:p>
      <w:pPr>
        <w:pStyle w:val="ListBullet"/>
      </w:pPr>
      <w:r>
        <w:t>Phase ordering constraints — frozen</w:t>
      </w:r>
    </w:p>
    <w:p>
      <w:pPr>
        <w:pStyle w:val="ListBullet"/>
      </w:pPr>
      <w:r>
        <w:t>Crypto market monitoring — active</w:t>
      </w:r>
    </w:p>
    <w:p>
      <w:pPr>
        <w:pStyle w:val="ListBullet"/>
      </w:pPr>
      <w:r>
        <w:t>Ancient markets WLRT — research</w:t>
      </w:r>
    </w:p>
    <w:p>
      <w:pPr>
        <w:pStyle w:val="ListBullet"/>
      </w:pPr>
      <w:r>
        <w:t>Elliott Wave critique — archived</w:t>
      </w:r>
    </w:p>
    <w:p>
      <w:pPr>
        <w:pStyle w:val="Heading2"/>
      </w:pPr>
      <w:r>
        <w:t>D. Indices and Metrics</w:t>
      </w:r>
    </w:p>
    <w:p>
      <w:pPr>
        <w:pStyle w:val="ListBullet"/>
      </w:pPr>
      <w:r>
        <w:t>Local Fragility Index (LFI)</w:t>
      </w:r>
    </w:p>
    <w:p>
      <w:pPr>
        <w:pStyle w:val="ListBullet"/>
      </w:pPr>
      <w:r>
        <w:t>Composite dimensionless indices</w:t>
      </w:r>
    </w:p>
    <w:p>
      <w:pPr>
        <w:pStyle w:val="ListBullet"/>
      </w:pPr>
      <w:r>
        <w:t>Geodesic liquidity trajectories</w:t>
      </w:r>
    </w:p>
    <w:p>
      <w:pPr>
        <w:pStyle w:val="ListBullet"/>
      </w:pPr>
      <w:r>
        <w:t>Empirical corollaries</w:t>
      </w:r>
    </w:p>
    <w:p>
      <w:pPr>
        <w:pStyle w:val="Heading2"/>
      </w:pPr>
      <w:r>
        <w:t>E. Algorithms and Models</w:t>
      </w:r>
    </w:p>
    <w:p>
      <w:pPr>
        <w:pStyle w:val="ListBullet"/>
      </w:pPr>
      <w:r>
        <w:t>Liquidity redistribution model</w:t>
      </w:r>
    </w:p>
    <w:p>
      <w:pPr>
        <w:pStyle w:val="ListBullet"/>
      </w:pPr>
      <w:r>
        <w:t>Phase-space WLRT model</w:t>
      </w:r>
    </w:p>
    <w:p>
      <w:pPr>
        <w:pStyle w:val="ListBullet"/>
      </w:pPr>
      <w:r>
        <w:t>Liquidity pool sections algorithm</w:t>
      </w:r>
    </w:p>
    <w:p>
      <w:pPr>
        <w:pStyle w:val="ListBullet"/>
      </w:pPr>
      <w:r>
        <w:t>Graph-based liquidity model</w:t>
      </w:r>
    </w:p>
    <w:p>
      <w:pPr>
        <w:pStyle w:val="ListBullet"/>
      </w:pPr>
      <w:r>
        <w:t>AMM / DEX extensions</w:t>
      </w:r>
    </w:p>
    <w:p>
      <w:pPr>
        <w:pStyle w:val="Heading2"/>
      </w:pPr>
      <w:r>
        <w:t>F. Empirical Observations</w:t>
      </w:r>
    </w:p>
    <w:p>
      <w:pPr>
        <w:pStyle w:val="ListBullet"/>
      </w:pPr>
      <w:r>
        <w:t>Pre-transition doubt articulation</w:t>
      </w:r>
    </w:p>
    <w:p>
      <w:pPr>
        <w:pStyle w:val="ListBullet"/>
      </w:pPr>
      <w:r>
        <w:t>Market behavior before phase shifts</w:t>
      </w:r>
    </w:p>
    <w:p>
      <w:pPr>
        <w:pStyle w:val="ListBullet"/>
      </w:pPr>
      <w:r>
        <w:t>Historical stress cases (e.g. FTX)</w:t>
      </w:r>
    </w:p>
    <w:p>
      <w:pPr>
        <w:pStyle w:val="ListBullet"/>
      </w:pPr>
      <w:r>
        <w:t>Token diagnostics cases</w:t>
      </w:r>
    </w:p>
    <w:p>
      <w:pPr>
        <w:pStyle w:val="Heading2"/>
      </w:pPr>
      <w:r>
        <w:t>G. External Publications</w:t>
      </w:r>
    </w:p>
    <w:p>
      <w:pPr>
        <w:pStyle w:val="ListBullet"/>
      </w:pPr>
      <w:r>
        <w:t>SSRN — pending</w:t>
      </w:r>
    </w:p>
    <w:p>
      <w:pPr>
        <w:pStyle w:val="ListBullet"/>
      </w:pPr>
      <w:r>
        <w:t>Zenodo — pending</w:t>
      </w:r>
    </w:p>
    <w:p>
      <w:pPr>
        <w:pStyle w:val="ListBullet"/>
      </w:pPr>
      <w:r>
        <w:t>arXiv — endorsement phase</w:t>
      </w:r>
    </w:p>
    <w:p>
      <w:pPr>
        <w:pStyle w:val="ListBullet"/>
      </w:pPr>
      <w:r>
        <w:t>GitHub repository — active</w:t>
      </w:r>
    </w:p>
    <w:p>
      <w:pPr>
        <w:pStyle w:val="Heading2"/>
      </w:pPr>
      <w:r>
        <w:t>H. Archives and Logs</w:t>
      </w:r>
    </w:p>
    <w:p>
      <w:pPr>
        <w:pStyle w:val="ListBullet"/>
      </w:pPr>
      <w:r>
        <w:t>Design logs</w:t>
      </w:r>
    </w:p>
    <w:p>
      <w:pPr>
        <w:pStyle w:val="ListBullet"/>
      </w:pPr>
      <w:r>
        <w:t>Archived chats</w:t>
      </w:r>
    </w:p>
    <w:p>
      <w:pPr>
        <w:pStyle w:val="ListBullet"/>
      </w:pPr>
      <w:r>
        <w:t>Technical specifications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