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6D337" w14:textId="1A565E7C" w:rsidR="008C2918" w:rsidRDefault="008C2918" w:rsidP="008C2918">
      <w:pPr>
        <w:pStyle w:val="Title"/>
        <w:jc w:val="center"/>
        <w:rPr>
          <w:rFonts w:ascii="Aptos" w:hAnsi="Aptos"/>
          <w:sz w:val="40"/>
          <w:szCs w:val="40"/>
        </w:rPr>
      </w:pPr>
      <w:r w:rsidRPr="008C2918">
        <w:rPr>
          <w:rFonts w:ascii="Aptos" w:hAnsi="Aptos"/>
          <w:sz w:val="40"/>
          <w:szCs w:val="40"/>
        </w:rPr>
        <w:t>Proposal for a Clinical Decision Support Tool for Variant Interpretation</w:t>
      </w:r>
      <w:r w:rsidR="008A2AF2">
        <w:rPr>
          <w:rFonts w:ascii="Aptos" w:hAnsi="Aptos"/>
          <w:sz w:val="40"/>
          <w:szCs w:val="40"/>
        </w:rPr>
        <w:t xml:space="preserve"> at WMRGL</w:t>
      </w:r>
    </w:p>
    <w:p w14:paraId="031F399C" w14:textId="77777777" w:rsidR="008C2918" w:rsidRPr="008C2918" w:rsidRDefault="008C2918" w:rsidP="008C2918"/>
    <w:p w14:paraId="0ABA722B" w14:textId="50F53153" w:rsidR="00865174" w:rsidRPr="00795602" w:rsidRDefault="00980886" w:rsidP="00980886">
      <w:pPr>
        <w:pStyle w:val="Heading2"/>
        <w:rPr>
          <w:rFonts w:ascii="Aptos" w:hAnsi="Aptos"/>
          <w:sz w:val="28"/>
          <w:szCs w:val="28"/>
        </w:rPr>
      </w:pPr>
      <w:r w:rsidRPr="00795602">
        <w:rPr>
          <w:rFonts w:ascii="Aptos" w:hAnsi="Aptos"/>
          <w:sz w:val="28"/>
          <w:szCs w:val="28"/>
        </w:rPr>
        <w:t>Executive Summary</w:t>
      </w:r>
    </w:p>
    <w:p w14:paraId="6FFE9C76" w14:textId="2D17CAD8" w:rsidR="0052491E" w:rsidRDefault="008B5928" w:rsidP="0052491E">
      <w:pPr>
        <w:jc w:val="both"/>
      </w:pPr>
      <w:r w:rsidRPr="008B5928">
        <w:t xml:space="preserve">The Genomics department is currently facing a transition period due to the upcoming decommissioning of the Alissa Interpreter software, which has served as a clinical decision support system (DSS) for variant interpretation. This tool has been a core part of the workflow for clinical scientists, especially in the </w:t>
      </w:r>
      <w:r w:rsidR="0052491E" w:rsidRPr="0052491E">
        <w:t xml:space="preserve">interpretation workflow for both the </w:t>
      </w:r>
      <w:proofErr w:type="spellStart"/>
      <w:r w:rsidR="0052491E" w:rsidRPr="0052491E">
        <w:t>panHO</w:t>
      </w:r>
      <w:proofErr w:type="spellEnd"/>
      <w:r w:rsidR="0052491E" w:rsidRPr="0052491E">
        <w:t xml:space="preserve"> and TSO500 pipelines, enabling clinical scientists to visualise variant calls, apply structured filters, annotate with up-to-date reference databases (</w:t>
      </w:r>
      <w:proofErr w:type="spellStart"/>
      <w:r w:rsidR="0052491E" w:rsidRPr="0052491E">
        <w:t>RefSeq</w:t>
      </w:r>
      <w:proofErr w:type="spellEnd"/>
      <w:r w:rsidR="0052491E" w:rsidRPr="0052491E">
        <w:t xml:space="preserve">, </w:t>
      </w:r>
      <w:proofErr w:type="spellStart"/>
      <w:r w:rsidR="0052491E" w:rsidRPr="0052491E">
        <w:t>GnomAD</w:t>
      </w:r>
      <w:proofErr w:type="spellEnd"/>
      <w:r w:rsidR="0052491E" w:rsidRPr="0052491E">
        <w:t xml:space="preserve">, COSMIC, </w:t>
      </w:r>
      <w:proofErr w:type="spellStart"/>
      <w:r w:rsidR="0052491E" w:rsidRPr="0052491E">
        <w:t>ClinVar</w:t>
      </w:r>
      <w:proofErr w:type="spellEnd"/>
      <w:r w:rsidR="0052491E" w:rsidRPr="0052491E">
        <w:t>), and export structured Excel reports</w:t>
      </w:r>
      <w:r w:rsidR="0052491E">
        <w:t xml:space="preserve">. </w:t>
      </w:r>
    </w:p>
    <w:p w14:paraId="049A7353" w14:textId="01D69F95" w:rsidR="008B5928" w:rsidRPr="008B5928" w:rsidRDefault="0052491E" w:rsidP="008B5928">
      <w:pPr>
        <w:jc w:val="both"/>
      </w:pPr>
      <w:r w:rsidRPr="0052491E">
        <w:t>Filtering settings are defined using a decision tree model which reduces the number of variants requiring manual interpretation.</w:t>
      </w:r>
      <w:r>
        <w:t xml:space="preserve"> </w:t>
      </w:r>
      <w:r w:rsidRPr="0052491E">
        <w:t>Filtering logic incorporates a range of parameters, including variant allele frequency (VAF), read depth, region-based inclusion, population frequency thresholds and variant quality indicators. This filtering capability is vital to maintain high-quality, focused clinical interpretation.</w:t>
      </w:r>
    </w:p>
    <w:p w14:paraId="2777619F" w14:textId="50AB34A9" w:rsidR="0052491E" w:rsidRPr="0052491E" w:rsidRDefault="008B5928" w:rsidP="0052491E">
      <w:pPr>
        <w:jc w:val="both"/>
      </w:pPr>
      <w:r w:rsidRPr="008B5928">
        <w:t>Without a suitable replacement, variant interpretation and reporting will be severely disrupted, potentially compromising both the quality and timeliness of clinical services</w:t>
      </w:r>
      <w:r w:rsidR="0052491E">
        <w:t>,</w:t>
      </w:r>
      <w:r w:rsidR="0052491E" w:rsidRPr="0052491E">
        <w:t xml:space="preserve"> it would also increase the risk of human error and could compromise the consistency</w:t>
      </w:r>
      <w:r w:rsidR="0052491E">
        <w:t xml:space="preserve"> </w:t>
      </w:r>
      <w:r w:rsidR="0052491E" w:rsidRPr="0052491E">
        <w:t>and regulatory compliance of clinical reports.</w:t>
      </w:r>
    </w:p>
    <w:p w14:paraId="3446F784" w14:textId="29E8DA58" w:rsidR="008B5928" w:rsidRPr="008B5928" w:rsidRDefault="008B5928" w:rsidP="008B5928">
      <w:pPr>
        <w:jc w:val="both"/>
      </w:pPr>
      <w:r w:rsidRPr="008B5928">
        <w:t>This document outlines three potential options moving forward: continuing without a replacement ("do nothing"), exploring the adoption of Congenica as an alternative, or building a bespoke DSS solution in-house. Each option is assessed in terms of feasibility, clinical suitability, financial impact</w:t>
      </w:r>
      <w:r>
        <w:t xml:space="preserve"> </w:t>
      </w:r>
      <w:r w:rsidRPr="008B5928">
        <w:t>and risk.</w:t>
      </w:r>
    </w:p>
    <w:p w14:paraId="21925DEB" w14:textId="7EEA04C3" w:rsidR="008B5928" w:rsidRDefault="008B5928" w:rsidP="008B5928">
      <w:pPr>
        <w:jc w:val="both"/>
      </w:pPr>
      <w:r>
        <w:t>We</w:t>
      </w:r>
      <w:r w:rsidRPr="008B5928">
        <w:t xml:space="preserve"> recommend moving forward with investigating an in-house solution, designed and tailored specifically for cancer variant interpretation workflows, with direct input from clinical scientists and </w:t>
      </w:r>
      <w:r w:rsidR="00E6399C">
        <w:t>system developing</w:t>
      </w:r>
      <w:r w:rsidRPr="008B5928">
        <w:t xml:space="preserve"> stakeholders. This approach, while resource-intensive initially, offers long-term sustainability and alignment with the evolving needs of our genomics service.</w:t>
      </w:r>
    </w:p>
    <w:p w14:paraId="27326756" w14:textId="77777777" w:rsidR="00795602" w:rsidRDefault="00795602" w:rsidP="008B5928">
      <w:pPr>
        <w:jc w:val="both"/>
      </w:pPr>
    </w:p>
    <w:p w14:paraId="50B00FC1" w14:textId="647BA55D" w:rsidR="00795602" w:rsidRDefault="00795602" w:rsidP="00795602">
      <w:pPr>
        <w:pStyle w:val="Heading2"/>
        <w:rPr>
          <w:rFonts w:ascii="Aptos" w:hAnsi="Aptos"/>
          <w:sz w:val="28"/>
          <w:szCs w:val="28"/>
        </w:rPr>
      </w:pPr>
      <w:r w:rsidRPr="00795602">
        <w:rPr>
          <w:rFonts w:ascii="Aptos" w:hAnsi="Aptos"/>
          <w:sz w:val="28"/>
          <w:szCs w:val="28"/>
        </w:rPr>
        <w:t>Options Appraisal</w:t>
      </w:r>
    </w:p>
    <w:p w14:paraId="34FBBBAC" w14:textId="77777777" w:rsidR="007973C1" w:rsidRDefault="0040152E" w:rsidP="0040152E">
      <w:pPr>
        <w:jc w:val="both"/>
      </w:pPr>
      <w:r w:rsidRPr="0040152E">
        <w:rPr>
          <w:b/>
          <w:bCs/>
        </w:rPr>
        <w:t>Option 1: Do Nothing</w:t>
      </w:r>
    </w:p>
    <w:p w14:paraId="0DF77E55" w14:textId="0A0E6441" w:rsidR="0040152E" w:rsidRPr="0040152E" w:rsidRDefault="007973C1" w:rsidP="0040152E">
      <w:pPr>
        <w:jc w:val="both"/>
      </w:pPr>
      <w:r>
        <w:t>C</w:t>
      </w:r>
      <w:r w:rsidR="0040152E" w:rsidRPr="0040152E">
        <w:t xml:space="preserve">ontinuing without a DSS is not viable. The existing clinical services rely on structured variant output, dynamic filtering, and curated annotations to interpret somatic mutations </w:t>
      </w:r>
      <w:r w:rsidR="00BF7E84" w:rsidRPr="0040152E">
        <w:t>efficiently</w:t>
      </w:r>
      <w:r w:rsidR="00BF7E84">
        <w:t>;</w:t>
      </w:r>
      <w:r>
        <w:t xml:space="preserve"> thus, m</w:t>
      </w:r>
      <w:r w:rsidR="0040152E" w:rsidRPr="0040152E">
        <w:t>anual processes would not meet current volume or turnaround expectations.</w:t>
      </w:r>
    </w:p>
    <w:p w14:paraId="6AB63860" w14:textId="77777777" w:rsidR="0040152E" w:rsidRPr="0040152E" w:rsidRDefault="0040152E" w:rsidP="0040152E">
      <w:pPr>
        <w:jc w:val="both"/>
      </w:pPr>
      <w:r w:rsidRPr="0040152E">
        <w:t>Key missing features in a "do nothing" scenario include:</w:t>
      </w:r>
    </w:p>
    <w:p w14:paraId="1B589460" w14:textId="77777777" w:rsidR="0040152E" w:rsidRPr="0040152E" w:rsidRDefault="0040152E" w:rsidP="0040152E">
      <w:pPr>
        <w:numPr>
          <w:ilvl w:val="0"/>
          <w:numId w:val="1"/>
        </w:numPr>
        <w:jc w:val="both"/>
      </w:pPr>
      <w:r w:rsidRPr="0040152E">
        <w:t xml:space="preserve">Annotation with </w:t>
      </w:r>
      <w:proofErr w:type="spellStart"/>
      <w:r w:rsidRPr="0040152E">
        <w:t>RefSeq</w:t>
      </w:r>
      <w:proofErr w:type="spellEnd"/>
      <w:r w:rsidRPr="0040152E">
        <w:t xml:space="preserve">, </w:t>
      </w:r>
      <w:proofErr w:type="spellStart"/>
      <w:r w:rsidRPr="0040152E">
        <w:t>GnomAD</w:t>
      </w:r>
      <w:proofErr w:type="spellEnd"/>
      <w:r w:rsidRPr="0040152E">
        <w:t>, Revel score, and other data sources</w:t>
      </w:r>
    </w:p>
    <w:p w14:paraId="3040D8DA" w14:textId="77777777" w:rsidR="0040152E" w:rsidRPr="0040152E" w:rsidRDefault="0040152E" w:rsidP="0040152E">
      <w:pPr>
        <w:numPr>
          <w:ilvl w:val="0"/>
          <w:numId w:val="1"/>
        </w:numPr>
        <w:jc w:val="both"/>
      </w:pPr>
      <w:r w:rsidRPr="0040152E">
        <w:t>Filtered Excel reports for variant interpretation</w:t>
      </w:r>
    </w:p>
    <w:p w14:paraId="42CC02F4" w14:textId="77777777" w:rsidR="0040152E" w:rsidRPr="0040152E" w:rsidRDefault="0040152E" w:rsidP="00A601FF">
      <w:pPr>
        <w:numPr>
          <w:ilvl w:val="0"/>
          <w:numId w:val="1"/>
        </w:numPr>
      </w:pPr>
      <w:r w:rsidRPr="0040152E">
        <w:t>Tabular CNV output integration</w:t>
      </w:r>
    </w:p>
    <w:p w14:paraId="2C02924C" w14:textId="77777777" w:rsidR="001B1DF0" w:rsidRDefault="0040152E" w:rsidP="0040152E">
      <w:pPr>
        <w:numPr>
          <w:ilvl w:val="0"/>
          <w:numId w:val="1"/>
        </w:numPr>
        <w:jc w:val="both"/>
      </w:pPr>
      <w:r w:rsidRPr="0040152E">
        <w:lastRenderedPageBreak/>
        <w:t>VAF- and BED-based filtering for pipelines like TSO500</w:t>
      </w:r>
    </w:p>
    <w:p w14:paraId="19A6026C" w14:textId="1AEDFA4A" w:rsidR="008E525C" w:rsidRDefault="00671E82" w:rsidP="001B1DF0">
      <w:pPr>
        <w:jc w:val="both"/>
      </w:pPr>
      <w:r w:rsidRPr="00671E82">
        <w:rPr>
          <w:b/>
          <w:bCs/>
        </w:rPr>
        <w:t>Risks:</w:t>
      </w:r>
      <w:r w:rsidR="001B1DF0">
        <w:t xml:space="preserve"> </w:t>
      </w:r>
      <w:r>
        <w:t>L</w:t>
      </w:r>
      <w:r w:rsidR="0040152E" w:rsidRPr="0040152E">
        <w:t>oss of data integrity, increased turnaround time, regulatory and accreditation issues and significant operational disruption.</w:t>
      </w:r>
    </w:p>
    <w:p w14:paraId="4029E137" w14:textId="77777777" w:rsidR="008E525C" w:rsidRDefault="008E525C" w:rsidP="001B1DF0">
      <w:pPr>
        <w:jc w:val="both"/>
      </w:pPr>
    </w:p>
    <w:p w14:paraId="7CE7CA75" w14:textId="61109BCD" w:rsidR="001C11C8" w:rsidRDefault="008E525C" w:rsidP="008E525C">
      <w:pPr>
        <w:jc w:val="both"/>
      </w:pPr>
      <w:r w:rsidRPr="008E525C">
        <w:rPr>
          <w:b/>
          <w:bCs/>
        </w:rPr>
        <w:t>Option 2:</w:t>
      </w:r>
      <w:r w:rsidR="00A64E17">
        <w:rPr>
          <w:b/>
          <w:bCs/>
        </w:rPr>
        <w:t xml:space="preserve"> </w:t>
      </w:r>
      <w:r w:rsidRPr="008E525C">
        <w:rPr>
          <w:b/>
          <w:bCs/>
        </w:rPr>
        <w:t>Congenica</w:t>
      </w:r>
      <w:r w:rsidRPr="008E525C">
        <w:t xml:space="preserve"> </w:t>
      </w:r>
    </w:p>
    <w:p w14:paraId="621345A1" w14:textId="105DE35B" w:rsidR="008E525C" w:rsidRPr="008E525C" w:rsidRDefault="008E525C" w:rsidP="008E525C">
      <w:pPr>
        <w:jc w:val="both"/>
      </w:pPr>
      <w:r w:rsidRPr="008E525C">
        <w:t xml:space="preserve">Congenica is a commercial genomic interpretation tool primarily geared towards rare disease diagnostics. While the platform offers some filtering and annotation capabilities, its design is not optimised for cancer-focused pipelines like </w:t>
      </w:r>
      <w:proofErr w:type="spellStart"/>
      <w:r w:rsidRPr="008E525C">
        <w:t>panHO</w:t>
      </w:r>
      <w:proofErr w:type="spellEnd"/>
      <w:r w:rsidRPr="008E525C">
        <w:t xml:space="preserve"> and TSO500. Functional gaps may include poor support for somatic-specific metrics, CNV handling, or flexible filtering based on tumour-specific thresholds (e.g. variant allele frequency, population frequency, read depth).</w:t>
      </w:r>
    </w:p>
    <w:p w14:paraId="733F7308" w14:textId="35D3178F" w:rsidR="008E525C" w:rsidRDefault="008E525C" w:rsidP="001B1DF0">
      <w:pPr>
        <w:jc w:val="both"/>
      </w:pPr>
      <w:r w:rsidRPr="008E525C">
        <w:t>Moreover, the TSO500 pipeline requires structured outputs including CNV, SNP, and quality metrics in separate tabs of a filtered Excel report</w:t>
      </w:r>
      <w:r w:rsidR="00BF7E84">
        <w:t xml:space="preserve">, this functionality is not available with Congenica. </w:t>
      </w:r>
    </w:p>
    <w:tbl>
      <w:tblPr>
        <w:tblStyle w:val="GridTable4-Accent4"/>
        <w:tblpPr w:leftFromText="180" w:rightFromText="180" w:vertAnchor="text" w:horzAnchor="margin" w:tblpXSpec="center" w:tblpY="359"/>
        <w:tblW w:w="0" w:type="auto"/>
        <w:tblLook w:val="04A0" w:firstRow="1" w:lastRow="0" w:firstColumn="1" w:lastColumn="0" w:noHBand="0" w:noVBand="1"/>
      </w:tblPr>
      <w:tblGrid>
        <w:gridCol w:w="3918"/>
        <w:gridCol w:w="3919"/>
      </w:tblGrid>
      <w:tr w:rsidR="00CE58C8" w14:paraId="4546A2DE" w14:textId="77777777" w:rsidTr="00CD1D1A">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3918" w:type="dxa"/>
          </w:tcPr>
          <w:p w14:paraId="4BEF9E70" w14:textId="77777777" w:rsidR="00CE58C8" w:rsidRPr="00732840" w:rsidRDefault="00CE58C8" w:rsidP="00CE58C8">
            <w:pPr>
              <w:pStyle w:val="Title"/>
              <w:jc w:val="center"/>
              <w:rPr>
                <w:rFonts w:asciiTheme="minorHAnsi" w:hAnsiTheme="minorHAnsi" w:cs="Calibri"/>
                <w:sz w:val="22"/>
                <w:szCs w:val="22"/>
              </w:rPr>
            </w:pPr>
            <w:r w:rsidRPr="00732840">
              <w:rPr>
                <w:rFonts w:asciiTheme="minorHAnsi" w:hAnsiTheme="minorHAnsi" w:cs="Calibri"/>
                <w:sz w:val="22"/>
                <w:szCs w:val="22"/>
              </w:rPr>
              <w:t>Benefits</w:t>
            </w:r>
          </w:p>
        </w:tc>
        <w:tc>
          <w:tcPr>
            <w:tcW w:w="3919" w:type="dxa"/>
          </w:tcPr>
          <w:p w14:paraId="429E12DE" w14:textId="77777777" w:rsidR="00CE58C8" w:rsidRPr="00732840" w:rsidRDefault="00CE58C8" w:rsidP="00CE58C8">
            <w:pPr>
              <w:pStyle w:val="Titl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sz w:val="22"/>
                <w:szCs w:val="22"/>
              </w:rPr>
            </w:pPr>
            <w:r w:rsidRPr="00732840">
              <w:rPr>
                <w:rFonts w:asciiTheme="minorHAnsi" w:hAnsiTheme="minorHAnsi" w:cs="Calibri"/>
                <w:sz w:val="22"/>
                <w:szCs w:val="22"/>
              </w:rPr>
              <w:t>Risks</w:t>
            </w:r>
          </w:p>
        </w:tc>
      </w:tr>
      <w:tr w:rsidR="00CE58C8" w14:paraId="27DBAED6" w14:textId="77777777" w:rsidTr="00CD1D1A">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3918" w:type="dxa"/>
          </w:tcPr>
          <w:p w14:paraId="41E2FEC8" w14:textId="77777777" w:rsidR="00CE58C8" w:rsidRPr="004700DE" w:rsidRDefault="00CE58C8" w:rsidP="00732840">
            <w:pPr>
              <w:rPr>
                <w:b w:val="0"/>
                <w:bCs w:val="0"/>
              </w:rPr>
            </w:pPr>
            <w:r w:rsidRPr="004700DE">
              <w:rPr>
                <w:b w:val="0"/>
                <w:bCs w:val="0"/>
              </w:rPr>
              <w:t>Vendor-supported product with user support and documentation</w:t>
            </w:r>
          </w:p>
        </w:tc>
        <w:tc>
          <w:tcPr>
            <w:tcW w:w="3919" w:type="dxa"/>
          </w:tcPr>
          <w:p w14:paraId="3C551A38" w14:textId="77777777" w:rsidR="00CE58C8" w:rsidRPr="00732840" w:rsidRDefault="00CE58C8" w:rsidP="00732840">
            <w:pPr>
              <w:cnfStyle w:val="000000100000" w:firstRow="0" w:lastRow="0" w:firstColumn="0" w:lastColumn="0" w:oddVBand="0" w:evenVBand="0" w:oddHBand="1" w:evenHBand="0" w:firstRowFirstColumn="0" w:firstRowLastColumn="0" w:lastRowFirstColumn="0" w:lastRowLastColumn="0"/>
            </w:pPr>
            <w:r w:rsidRPr="00732840">
              <w:t>Platform misaligned with departmental cancer workflows</w:t>
            </w:r>
          </w:p>
        </w:tc>
      </w:tr>
      <w:tr w:rsidR="00CE58C8" w14:paraId="6E7BC0DE" w14:textId="77777777" w:rsidTr="00CD1D1A">
        <w:trPr>
          <w:trHeight w:val="812"/>
        </w:trPr>
        <w:tc>
          <w:tcPr>
            <w:cnfStyle w:val="001000000000" w:firstRow="0" w:lastRow="0" w:firstColumn="1" w:lastColumn="0" w:oddVBand="0" w:evenVBand="0" w:oddHBand="0" w:evenHBand="0" w:firstRowFirstColumn="0" w:firstRowLastColumn="0" w:lastRowFirstColumn="0" w:lastRowLastColumn="0"/>
            <w:tcW w:w="3918" w:type="dxa"/>
          </w:tcPr>
          <w:p w14:paraId="31CF0F13" w14:textId="77777777" w:rsidR="00CE58C8" w:rsidRPr="004700DE" w:rsidRDefault="00CE58C8" w:rsidP="00732840">
            <w:pPr>
              <w:rPr>
                <w:b w:val="0"/>
                <w:bCs w:val="0"/>
              </w:rPr>
            </w:pPr>
            <w:r w:rsidRPr="004700DE">
              <w:rPr>
                <w:b w:val="0"/>
                <w:bCs w:val="0"/>
              </w:rPr>
              <w:t>Quicker to implement than a build-from-scratch tool/ already in use in department</w:t>
            </w:r>
          </w:p>
        </w:tc>
        <w:tc>
          <w:tcPr>
            <w:tcW w:w="3919" w:type="dxa"/>
          </w:tcPr>
          <w:p w14:paraId="6F8222BE" w14:textId="484A8E85" w:rsidR="00CE58C8" w:rsidRPr="00732840" w:rsidRDefault="00CE58C8" w:rsidP="00732840">
            <w:pPr>
              <w:cnfStyle w:val="000000000000" w:firstRow="0" w:lastRow="0" w:firstColumn="0" w:lastColumn="0" w:oddVBand="0" w:evenVBand="0" w:oddHBand="0" w:evenHBand="0" w:firstRowFirstColumn="0" w:firstRowLastColumn="0" w:lastRowFirstColumn="0" w:lastRowLastColumn="0"/>
            </w:pPr>
            <w:r w:rsidRPr="00732840">
              <w:t>Limited customisation</w:t>
            </w:r>
            <w:r w:rsidR="004700DE">
              <w:t xml:space="preserve"> and vendor dependent updates</w:t>
            </w:r>
          </w:p>
        </w:tc>
      </w:tr>
      <w:tr w:rsidR="00CE58C8" w14:paraId="40F29DB5" w14:textId="77777777" w:rsidTr="00CD1D1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3918" w:type="dxa"/>
          </w:tcPr>
          <w:p w14:paraId="1CA2E994" w14:textId="1A8D0EB2" w:rsidR="00CE58C8" w:rsidRPr="004700DE" w:rsidRDefault="00732840" w:rsidP="00732840">
            <w:pPr>
              <w:rPr>
                <w:b w:val="0"/>
                <w:bCs w:val="0"/>
              </w:rPr>
            </w:pPr>
            <w:r w:rsidRPr="004700DE">
              <w:rPr>
                <w:b w:val="0"/>
                <w:bCs w:val="0"/>
              </w:rPr>
              <w:t xml:space="preserve">Designed for clinical use </w:t>
            </w:r>
          </w:p>
        </w:tc>
        <w:tc>
          <w:tcPr>
            <w:tcW w:w="3919" w:type="dxa"/>
          </w:tcPr>
          <w:p w14:paraId="30E7A005" w14:textId="77777777" w:rsidR="00CE58C8" w:rsidRPr="00732840" w:rsidRDefault="00CE58C8" w:rsidP="00732840">
            <w:pPr>
              <w:cnfStyle w:val="000000100000" w:firstRow="0" w:lastRow="0" w:firstColumn="0" w:lastColumn="0" w:oddVBand="0" w:evenVBand="0" w:oddHBand="1" w:evenHBand="0" w:firstRowFirstColumn="0" w:firstRowLastColumn="0" w:lastRowFirstColumn="0" w:lastRowLastColumn="0"/>
            </w:pPr>
            <w:r w:rsidRPr="00732840">
              <w:t>Potential for sunk cost if later deemed unsuitable.</w:t>
            </w:r>
          </w:p>
        </w:tc>
      </w:tr>
      <w:tr w:rsidR="00732840" w14:paraId="658A6B07" w14:textId="77777777" w:rsidTr="00CD1D1A">
        <w:trPr>
          <w:trHeight w:val="616"/>
        </w:trPr>
        <w:tc>
          <w:tcPr>
            <w:cnfStyle w:val="001000000000" w:firstRow="0" w:lastRow="0" w:firstColumn="1" w:lastColumn="0" w:oddVBand="0" w:evenVBand="0" w:oddHBand="0" w:evenHBand="0" w:firstRowFirstColumn="0" w:firstRowLastColumn="0" w:lastRowFirstColumn="0" w:lastRowLastColumn="0"/>
            <w:tcW w:w="3918" w:type="dxa"/>
          </w:tcPr>
          <w:p w14:paraId="186B3903" w14:textId="77777777" w:rsidR="004700DE" w:rsidRPr="004700DE" w:rsidRDefault="004700DE" w:rsidP="004700DE">
            <w:pPr>
              <w:rPr>
                <w:b w:val="0"/>
                <w:bCs w:val="0"/>
              </w:rPr>
            </w:pPr>
            <w:r w:rsidRPr="004700DE">
              <w:rPr>
                <w:b w:val="0"/>
                <w:bCs w:val="0"/>
              </w:rPr>
              <w:t>Likely compliant with IVDR; externally maintained for regulatory alignment.</w:t>
            </w:r>
          </w:p>
          <w:p w14:paraId="701AAC6F" w14:textId="77777777" w:rsidR="00732840" w:rsidRPr="00732840" w:rsidRDefault="00732840" w:rsidP="00732840"/>
        </w:tc>
        <w:tc>
          <w:tcPr>
            <w:tcW w:w="3919" w:type="dxa"/>
          </w:tcPr>
          <w:p w14:paraId="0CFAEAD5" w14:textId="73710593" w:rsidR="004700DE" w:rsidRDefault="004700DE" w:rsidP="004700DE">
            <w:pPr>
              <w:cnfStyle w:val="000000000000" w:firstRow="0" w:lastRow="0" w:firstColumn="0" w:lastColumn="0" w:oddVBand="0" w:evenVBand="0" w:oddHBand="0" w:evenHBand="0" w:firstRowFirstColumn="0" w:firstRowLastColumn="0" w:lastRowFirstColumn="0" w:lastRowLastColumn="0"/>
            </w:pPr>
            <w:r>
              <w:t>Data privacy concerns with third-party vendor.</w:t>
            </w:r>
          </w:p>
          <w:p w14:paraId="4A562306" w14:textId="77777777" w:rsidR="00732840" w:rsidRPr="00732840" w:rsidRDefault="00732840" w:rsidP="004700DE">
            <w:pPr>
              <w:cnfStyle w:val="000000000000" w:firstRow="0" w:lastRow="0" w:firstColumn="0" w:lastColumn="0" w:oddVBand="0" w:evenVBand="0" w:oddHBand="0" w:evenHBand="0" w:firstRowFirstColumn="0" w:firstRowLastColumn="0" w:lastRowFirstColumn="0" w:lastRowLastColumn="0"/>
            </w:pPr>
          </w:p>
        </w:tc>
      </w:tr>
    </w:tbl>
    <w:p w14:paraId="5140228C" w14:textId="398C5191" w:rsidR="001C11C8" w:rsidRDefault="001C11C8" w:rsidP="001B1DF0">
      <w:pPr>
        <w:jc w:val="both"/>
      </w:pPr>
    </w:p>
    <w:p w14:paraId="3640843A" w14:textId="77777777" w:rsidR="00671E82" w:rsidRDefault="00671E82" w:rsidP="001B1DF0">
      <w:pPr>
        <w:jc w:val="both"/>
      </w:pPr>
    </w:p>
    <w:p w14:paraId="015A011C" w14:textId="77777777" w:rsidR="00CE58C8" w:rsidRDefault="00CE58C8" w:rsidP="001C11C8">
      <w:pPr>
        <w:jc w:val="both"/>
        <w:rPr>
          <w:b/>
          <w:bCs/>
        </w:rPr>
      </w:pPr>
    </w:p>
    <w:p w14:paraId="27391091" w14:textId="77777777" w:rsidR="00CE58C8" w:rsidRDefault="00CE58C8" w:rsidP="001C11C8">
      <w:pPr>
        <w:jc w:val="both"/>
        <w:rPr>
          <w:b/>
          <w:bCs/>
        </w:rPr>
      </w:pPr>
    </w:p>
    <w:p w14:paraId="2178FDBC" w14:textId="77777777" w:rsidR="00CE58C8" w:rsidRDefault="00CE58C8" w:rsidP="001C11C8">
      <w:pPr>
        <w:jc w:val="both"/>
        <w:rPr>
          <w:b/>
          <w:bCs/>
        </w:rPr>
      </w:pPr>
    </w:p>
    <w:p w14:paraId="6CFE2AE3" w14:textId="77777777" w:rsidR="00CE58C8" w:rsidRDefault="00CE58C8" w:rsidP="001C11C8">
      <w:pPr>
        <w:jc w:val="both"/>
        <w:rPr>
          <w:b/>
          <w:bCs/>
        </w:rPr>
      </w:pPr>
    </w:p>
    <w:p w14:paraId="7FE61398" w14:textId="77777777" w:rsidR="00CE58C8" w:rsidRDefault="00CE58C8" w:rsidP="001C11C8">
      <w:pPr>
        <w:jc w:val="both"/>
        <w:rPr>
          <w:b/>
          <w:bCs/>
        </w:rPr>
      </w:pPr>
    </w:p>
    <w:p w14:paraId="530EBD3D" w14:textId="77777777" w:rsidR="00DD28CF" w:rsidRDefault="00DD28CF" w:rsidP="001C11C8">
      <w:pPr>
        <w:jc w:val="both"/>
        <w:rPr>
          <w:b/>
          <w:bCs/>
        </w:rPr>
      </w:pPr>
    </w:p>
    <w:p w14:paraId="110593A7" w14:textId="77777777" w:rsidR="00DD28CF" w:rsidRDefault="00DD28CF" w:rsidP="001C11C8">
      <w:pPr>
        <w:jc w:val="both"/>
        <w:rPr>
          <w:b/>
          <w:bCs/>
        </w:rPr>
      </w:pPr>
    </w:p>
    <w:p w14:paraId="3C212DAC" w14:textId="77777777" w:rsidR="00CE58C8" w:rsidRDefault="00CE58C8" w:rsidP="001C11C8">
      <w:pPr>
        <w:jc w:val="both"/>
        <w:rPr>
          <w:b/>
          <w:bCs/>
        </w:rPr>
      </w:pPr>
    </w:p>
    <w:p w14:paraId="01F8B187" w14:textId="388AB3D1" w:rsidR="001C11C8" w:rsidRDefault="001C11C8" w:rsidP="001C11C8">
      <w:pPr>
        <w:jc w:val="both"/>
        <w:rPr>
          <w:b/>
          <w:bCs/>
        </w:rPr>
      </w:pPr>
      <w:r w:rsidRPr="001C11C8">
        <w:rPr>
          <w:b/>
          <w:bCs/>
        </w:rPr>
        <w:t>Option 3: Build an In-House Solution</w:t>
      </w:r>
    </w:p>
    <w:p w14:paraId="145FD6BC" w14:textId="77526FB6" w:rsidR="001B1DF0" w:rsidRDefault="001C11C8" w:rsidP="0040152E">
      <w:pPr>
        <w:jc w:val="both"/>
      </w:pPr>
      <w:r w:rsidRPr="001C11C8">
        <w:t xml:space="preserve">A custom-built DSS would allow the department to replicate and improve upon Alissa’s core functionalities, specifically tailored to our pipelines. The in-house tool could also support the inclusion of blank fields for interpretation notes and a buildable database to track recurrent variants across patient cohorts. This approach ensures long-term adaptability and integration with </w:t>
      </w:r>
      <w:r>
        <w:t>departmental</w:t>
      </w:r>
      <w:r w:rsidRPr="001C11C8">
        <w:t xml:space="preserve"> workflows.</w:t>
      </w:r>
    </w:p>
    <w:tbl>
      <w:tblPr>
        <w:tblStyle w:val="GridTable4-Accent4"/>
        <w:tblpPr w:leftFromText="180" w:rightFromText="180" w:vertAnchor="text" w:horzAnchor="margin" w:tblpXSpec="center" w:tblpY="359"/>
        <w:tblW w:w="0" w:type="auto"/>
        <w:tblLook w:val="04A0" w:firstRow="1" w:lastRow="0" w:firstColumn="1" w:lastColumn="0" w:noHBand="0" w:noVBand="1"/>
      </w:tblPr>
      <w:tblGrid>
        <w:gridCol w:w="3918"/>
        <w:gridCol w:w="3919"/>
      </w:tblGrid>
      <w:tr w:rsidR="00CE58C8" w14:paraId="35985176" w14:textId="77777777" w:rsidTr="009F46BF">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3918" w:type="dxa"/>
          </w:tcPr>
          <w:p w14:paraId="7FC76EA6" w14:textId="77777777" w:rsidR="00CE58C8" w:rsidRPr="004700DE" w:rsidRDefault="00CE58C8" w:rsidP="004700DE">
            <w:r w:rsidRPr="004700DE">
              <w:t>Benefits</w:t>
            </w:r>
          </w:p>
        </w:tc>
        <w:tc>
          <w:tcPr>
            <w:tcW w:w="3919" w:type="dxa"/>
          </w:tcPr>
          <w:p w14:paraId="20ECC041" w14:textId="77777777" w:rsidR="00CE58C8" w:rsidRPr="004700DE" w:rsidRDefault="00CE58C8" w:rsidP="004700DE">
            <w:pPr>
              <w:cnfStyle w:val="100000000000" w:firstRow="1" w:lastRow="0" w:firstColumn="0" w:lastColumn="0" w:oddVBand="0" w:evenVBand="0" w:oddHBand="0" w:evenHBand="0" w:firstRowFirstColumn="0" w:firstRowLastColumn="0" w:lastRowFirstColumn="0" w:lastRowLastColumn="0"/>
            </w:pPr>
            <w:r w:rsidRPr="004700DE">
              <w:t>Risks</w:t>
            </w:r>
          </w:p>
        </w:tc>
      </w:tr>
      <w:tr w:rsidR="00CE58C8" w14:paraId="633C80A5" w14:textId="77777777" w:rsidTr="009F46BF">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3918" w:type="dxa"/>
          </w:tcPr>
          <w:p w14:paraId="2F79D929" w14:textId="78CF50AF" w:rsidR="00CE58C8" w:rsidRPr="004700DE" w:rsidRDefault="004604CE" w:rsidP="004700DE">
            <w:pPr>
              <w:rPr>
                <w:b w:val="0"/>
                <w:bCs w:val="0"/>
              </w:rPr>
            </w:pPr>
            <w:r w:rsidRPr="004700DE">
              <w:rPr>
                <w:b w:val="0"/>
                <w:bCs w:val="0"/>
              </w:rPr>
              <w:t>Fully tailored to current clinical workflows</w:t>
            </w:r>
          </w:p>
        </w:tc>
        <w:tc>
          <w:tcPr>
            <w:tcW w:w="3919" w:type="dxa"/>
          </w:tcPr>
          <w:p w14:paraId="708CC3B2" w14:textId="55E4EABB" w:rsidR="00CE58C8" w:rsidRPr="004700DE" w:rsidRDefault="00F72DAB" w:rsidP="004700DE">
            <w:pPr>
              <w:cnfStyle w:val="000000100000" w:firstRow="0" w:lastRow="0" w:firstColumn="0" w:lastColumn="0" w:oddVBand="0" w:evenVBand="0" w:oddHBand="1" w:evenHBand="0" w:firstRowFirstColumn="0" w:firstRowLastColumn="0" w:lastRowFirstColumn="0" w:lastRowLastColumn="0"/>
            </w:pPr>
            <w:r w:rsidRPr="004700DE">
              <w:t>Significant upfront development time and staff resources</w:t>
            </w:r>
          </w:p>
        </w:tc>
      </w:tr>
      <w:tr w:rsidR="00CE58C8" w14:paraId="1789C638" w14:textId="77777777" w:rsidTr="009F46BF">
        <w:trPr>
          <w:trHeight w:val="812"/>
        </w:trPr>
        <w:tc>
          <w:tcPr>
            <w:cnfStyle w:val="001000000000" w:firstRow="0" w:lastRow="0" w:firstColumn="1" w:lastColumn="0" w:oddVBand="0" w:evenVBand="0" w:oddHBand="0" w:evenHBand="0" w:firstRowFirstColumn="0" w:firstRowLastColumn="0" w:lastRowFirstColumn="0" w:lastRowLastColumn="0"/>
            <w:tcW w:w="3918" w:type="dxa"/>
          </w:tcPr>
          <w:p w14:paraId="232012E2" w14:textId="104D7840" w:rsidR="00CE58C8" w:rsidRPr="004700DE" w:rsidRDefault="004604CE" w:rsidP="004700DE">
            <w:pPr>
              <w:rPr>
                <w:b w:val="0"/>
                <w:bCs w:val="0"/>
              </w:rPr>
            </w:pPr>
            <w:r w:rsidRPr="004700DE">
              <w:rPr>
                <w:b w:val="0"/>
                <w:bCs w:val="0"/>
              </w:rPr>
              <w:t xml:space="preserve">Easily adaptable to future features, will support regulatory compliance </w:t>
            </w:r>
          </w:p>
        </w:tc>
        <w:tc>
          <w:tcPr>
            <w:tcW w:w="3919" w:type="dxa"/>
          </w:tcPr>
          <w:p w14:paraId="208132E2" w14:textId="26D8F28D" w:rsidR="00CE58C8" w:rsidRPr="004700DE" w:rsidRDefault="00F72DAB" w:rsidP="004700DE">
            <w:pPr>
              <w:cnfStyle w:val="000000000000" w:firstRow="0" w:lastRow="0" w:firstColumn="0" w:lastColumn="0" w:oddVBand="0" w:evenVBand="0" w:oddHBand="0" w:evenHBand="0" w:firstRowFirstColumn="0" w:firstRowLastColumn="0" w:lastRowFirstColumn="0" w:lastRowLastColumn="0"/>
            </w:pPr>
            <w:r w:rsidRPr="004700DE">
              <w:t>Potential delays in delivery</w:t>
            </w:r>
          </w:p>
        </w:tc>
      </w:tr>
      <w:tr w:rsidR="00CE58C8" w14:paraId="45BA0249" w14:textId="77777777" w:rsidTr="009F46BF">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3918" w:type="dxa"/>
          </w:tcPr>
          <w:p w14:paraId="1B861C13" w14:textId="09C40BD2" w:rsidR="00CE58C8" w:rsidRPr="004700DE" w:rsidRDefault="00D36674" w:rsidP="004700DE">
            <w:pPr>
              <w:rPr>
                <w:b w:val="0"/>
                <w:bCs w:val="0"/>
              </w:rPr>
            </w:pPr>
            <w:r w:rsidRPr="004700DE">
              <w:rPr>
                <w:b w:val="0"/>
                <w:bCs w:val="0"/>
                <w:color w:val="000000" w:themeColor="text1"/>
              </w:rPr>
              <w:lastRenderedPageBreak/>
              <w:t>No ambiguity in ownership and responsibility, less concerns about data security and compliance</w:t>
            </w:r>
          </w:p>
        </w:tc>
        <w:tc>
          <w:tcPr>
            <w:tcW w:w="3919" w:type="dxa"/>
          </w:tcPr>
          <w:p w14:paraId="02EFD48E" w14:textId="5B51D535" w:rsidR="00CE58C8" w:rsidRPr="004700DE" w:rsidRDefault="004700DE" w:rsidP="004700DE">
            <w:pPr>
              <w:cnfStyle w:val="000000100000" w:firstRow="0" w:lastRow="0" w:firstColumn="0" w:lastColumn="0" w:oddVBand="0" w:evenVBand="0" w:oddHBand="1" w:evenHBand="0" w:firstRowFirstColumn="0" w:firstRowLastColumn="0" w:lastRowFirstColumn="0" w:lastRowLastColumn="0"/>
            </w:pPr>
            <w:r>
              <w:t>Requires extensive validation</w:t>
            </w:r>
          </w:p>
        </w:tc>
      </w:tr>
      <w:tr w:rsidR="004700DE" w14:paraId="6ED50B6C" w14:textId="77777777" w:rsidTr="009F46BF">
        <w:trPr>
          <w:trHeight w:val="616"/>
        </w:trPr>
        <w:tc>
          <w:tcPr>
            <w:cnfStyle w:val="001000000000" w:firstRow="0" w:lastRow="0" w:firstColumn="1" w:lastColumn="0" w:oddVBand="0" w:evenVBand="0" w:oddHBand="0" w:evenHBand="0" w:firstRowFirstColumn="0" w:firstRowLastColumn="0" w:lastRowFirstColumn="0" w:lastRowLastColumn="0"/>
            <w:tcW w:w="3918" w:type="dxa"/>
          </w:tcPr>
          <w:p w14:paraId="77F0D45D" w14:textId="6E297B2C" w:rsidR="004700DE" w:rsidRPr="004700DE" w:rsidRDefault="004700DE" w:rsidP="004700DE">
            <w:pPr>
              <w:rPr>
                <w:b w:val="0"/>
                <w:bCs w:val="0"/>
              </w:rPr>
            </w:pPr>
            <w:r w:rsidRPr="004700DE">
              <w:rPr>
                <w:b w:val="0"/>
                <w:bCs w:val="0"/>
              </w:rPr>
              <w:t>Long-term cost savings</w:t>
            </w:r>
            <w:r>
              <w:rPr>
                <w:b w:val="0"/>
                <w:bCs w:val="0"/>
              </w:rPr>
              <w:t>,</w:t>
            </w:r>
            <w:r w:rsidRPr="004700DE">
              <w:rPr>
                <w:b w:val="0"/>
                <w:bCs w:val="0"/>
              </w:rPr>
              <w:t xml:space="preserve"> no vendor lock-in</w:t>
            </w:r>
            <w:r>
              <w:rPr>
                <w:b w:val="0"/>
                <w:bCs w:val="0"/>
              </w:rPr>
              <w:t xml:space="preserve"> which</w:t>
            </w:r>
            <w:r w:rsidRPr="004700DE">
              <w:rPr>
                <w:b w:val="0"/>
                <w:bCs w:val="0"/>
              </w:rPr>
              <w:t xml:space="preserve"> builds internal capability.</w:t>
            </w:r>
          </w:p>
          <w:p w14:paraId="0A70B1B9" w14:textId="77777777" w:rsidR="004700DE" w:rsidRPr="004700DE" w:rsidRDefault="004700DE" w:rsidP="004700DE">
            <w:pPr>
              <w:rPr>
                <w:color w:val="000000" w:themeColor="text1"/>
              </w:rPr>
            </w:pPr>
          </w:p>
        </w:tc>
        <w:tc>
          <w:tcPr>
            <w:tcW w:w="3919" w:type="dxa"/>
          </w:tcPr>
          <w:p w14:paraId="205EC5C0" w14:textId="77777777" w:rsidR="004700DE" w:rsidRDefault="004700DE" w:rsidP="004700DE">
            <w:pPr>
              <w:cnfStyle w:val="000000000000" w:firstRow="0" w:lastRow="0" w:firstColumn="0" w:lastColumn="0" w:oddVBand="0" w:evenVBand="0" w:oddHBand="0" w:evenHBand="0" w:firstRowFirstColumn="0" w:firstRowLastColumn="0" w:lastRowFirstColumn="0" w:lastRowLastColumn="0"/>
            </w:pPr>
          </w:p>
        </w:tc>
      </w:tr>
    </w:tbl>
    <w:p w14:paraId="7440A7C3" w14:textId="77777777" w:rsidR="001B1DF0" w:rsidRPr="0040152E" w:rsidRDefault="001B1DF0" w:rsidP="0040152E">
      <w:pPr>
        <w:jc w:val="both"/>
      </w:pPr>
    </w:p>
    <w:p w14:paraId="38E5C36A" w14:textId="77777777" w:rsidR="00795602" w:rsidRPr="00795602" w:rsidRDefault="00795602" w:rsidP="00795602"/>
    <w:p w14:paraId="173E6B88" w14:textId="77777777" w:rsidR="00795602" w:rsidRDefault="00795602" w:rsidP="008B5928">
      <w:pPr>
        <w:jc w:val="both"/>
      </w:pPr>
    </w:p>
    <w:p w14:paraId="5FE0A181" w14:textId="77777777" w:rsidR="00795602" w:rsidRDefault="00795602" w:rsidP="008B5928">
      <w:pPr>
        <w:jc w:val="both"/>
      </w:pPr>
    </w:p>
    <w:p w14:paraId="79C84B7B" w14:textId="77777777" w:rsidR="00795602" w:rsidRPr="008B5928" w:rsidRDefault="00795602" w:rsidP="008B5928">
      <w:pPr>
        <w:jc w:val="both"/>
      </w:pPr>
    </w:p>
    <w:p w14:paraId="58099C23" w14:textId="77777777" w:rsidR="008C2918" w:rsidRPr="00A601FF" w:rsidRDefault="008C2918" w:rsidP="008C2918">
      <w:pPr>
        <w:rPr>
          <w:sz w:val="28"/>
          <w:szCs w:val="28"/>
        </w:rPr>
      </w:pPr>
    </w:p>
    <w:p w14:paraId="2467F404" w14:textId="4D7F190C" w:rsidR="00A601FF" w:rsidRPr="00A601FF" w:rsidRDefault="00DD28CF" w:rsidP="00980886">
      <w:pPr>
        <w:rPr>
          <w:b/>
          <w:bCs/>
          <w:sz w:val="28"/>
          <w:szCs w:val="28"/>
        </w:rPr>
      </w:pPr>
      <w:r w:rsidRPr="00A601FF">
        <w:rPr>
          <w:b/>
          <w:bCs/>
          <w:sz w:val="28"/>
          <w:szCs w:val="28"/>
        </w:rPr>
        <w:t>Conclusion</w:t>
      </w:r>
    </w:p>
    <w:p w14:paraId="332ECE9F" w14:textId="5316B9F4" w:rsidR="00A601FF" w:rsidRPr="00A601FF" w:rsidRDefault="00A601FF" w:rsidP="00A601FF">
      <w:pPr>
        <w:jc w:val="both"/>
      </w:pPr>
      <w:r w:rsidRPr="00A601FF">
        <w:t xml:space="preserve">After thorough evaluation of the available options, </w:t>
      </w:r>
      <w:r w:rsidR="00C938EA" w:rsidRPr="00A601FF">
        <w:t>building</w:t>
      </w:r>
      <w:r w:rsidRPr="00A601FF">
        <w:t xml:space="preserve"> an in-house clinical decision support system represents the most sustainable and strategic path forward. While this approach requires initial investment in time and resources, it provides the highest degree of flexibility, control, and alignment with both clinical and technical needs specific to our cancer-focused workflows.</w:t>
      </w:r>
    </w:p>
    <w:p w14:paraId="25B96807" w14:textId="77777777" w:rsidR="00A601FF" w:rsidRPr="00A601FF" w:rsidRDefault="00A601FF" w:rsidP="00A601FF">
      <w:pPr>
        <w:jc w:val="both"/>
      </w:pPr>
      <w:r w:rsidRPr="00A601FF">
        <w:t xml:space="preserve">An internally developed solution can be tailored to meet the evolving requirements of the </w:t>
      </w:r>
      <w:proofErr w:type="spellStart"/>
      <w:r w:rsidRPr="00A601FF">
        <w:t>panHO</w:t>
      </w:r>
      <w:proofErr w:type="spellEnd"/>
      <w:r w:rsidRPr="00A601FF">
        <w:t xml:space="preserve"> and TSO500 pipelines, ensure integration with existing systems, and allow for future enhancements such as TMB support, disease-specific databases, and variant tracking. Furthermore, it positions the organisation to maintain compliance with regulatory standards while safeguarding ethical standards around data use and patient care.</w:t>
      </w:r>
    </w:p>
    <w:p w14:paraId="747DA057" w14:textId="21556926" w:rsidR="00A601FF" w:rsidRPr="00A601FF" w:rsidRDefault="00A601FF" w:rsidP="00A601FF">
      <w:pPr>
        <w:jc w:val="both"/>
      </w:pPr>
      <w:r w:rsidRPr="00A601FF">
        <w:t xml:space="preserve">The in-house option also fosters cross-disciplinary collaboration between clinical scientists and </w:t>
      </w:r>
      <w:r>
        <w:t>developers</w:t>
      </w:r>
      <w:r w:rsidRPr="00A601FF">
        <w:t>, enabling a shared understanding of the tools that underpin clinical services. This collaborative model supports continuous improvement and innovation.</w:t>
      </w:r>
    </w:p>
    <w:p w14:paraId="5ED0AD81" w14:textId="77777777" w:rsidR="00DD28CF" w:rsidRPr="00A601FF" w:rsidRDefault="00DD28CF" w:rsidP="00980886"/>
    <w:sectPr w:rsidR="00DD28CF" w:rsidRPr="00A60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2814"/>
    <w:multiLevelType w:val="multilevel"/>
    <w:tmpl w:val="8FA4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36605"/>
    <w:multiLevelType w:val="multilevel"/>
    <w:tmpl w:val="57F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025062">
    <w:abstractNumId w:val="1"/>
  </w:num>
  <w:num w:numId="2" w16cid:durableId="191308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43"/>
    <w:rsid w:val="000A4A3D"/>
    <w:rsid w:val="001B1DF0"/>
    <w:rsid w:val="001C11C8"/>
    <w:rsid w:val="002D65A3"/>
    <w:rsid w:val="00335D3C"/>
    <w:rsid w:val="0040152E"/>
    <w:rsid w:val="004604CE"/>
    <w:rsid w:val="004700DE"/>
    <w:rsid w:val="004A5C1F"/>
    <w:rsid w:val="004C6AFF"/>
    <w:rsid w:val="0052491E"/>
    <w:rsid w:val="005D6E8A"/>
    <w:rsid w:val="006102C0"/>
    <w:rsid w:val="00671E82"/>
    <w:rsid w:val="006C7A70"/>
    <w:rsid w:val="00732840"/>
    <w:rsid w:val="00795602"/>
    <w:rsid w:val="007973C1"/>
    <w:rsid w:val="00861950"/>
    <w:rsid w:val="00865174"/>
    <w:rsid w:val="008A2AF2"/>
    <w:rsid w:val="008B5928"/>
    <w:rsid w:val="008C2918"/>
    <w:rsid w:val="008E525C"/>
    <w:rsid w:val="00980886"/>
    <w:rsid w:val="00A601FF"/>
    <w:rsid w:val="00A64E17"/>
    <w:rsid w:val="00BA6743"/>
    <w:rsid w:val="00BF7E84"/>
    <w:rsid w:val="00C76454"/>
    <w:rsid w:val="00C938EA"/>
    <w:rsid w:val="00CD1D1A"/>
    <w:rsid w:val="00CE58C8"/>
    <w:rsid w:val="00D36674"/>
    <w:rsid w:val="00DD28CF"/>
    <w:rsid w:val="00E350C0"/>
    <w:rsid w:val="00E6399C"/>
    <w:rsid w:val="00F06D2B"/>
    <w:rsid w:val="00F24EDD"/>
    <w:rsid w:val="00F72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38FA"/>
  <w15:chartTrackingRefBased/>
  <w15:docId w15:val="{A34D177F-C847-464D-BB9F-560E9B4A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6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6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743"/>
    <w:rPr>
      <w:rFonts w:eastAsiaTheme="majorEastAsia" w:cstheme="majorBidi"/>
      <w:color w:val="272727" w:themeColor="text1" w:themeTint="D8"/>
    </w:rPr>
  </w:style>
  <w:style w:type="paragraph" w:styleId="Title">
    <w:name w:val="Title"/>
    <w:basedOn w:val="Normal"/>
    <w:next w:val="Normal"/>
    <w:link w:val="TitleChar"/>
    <w:uiPriority w:val="10"/>
    <w:qFormat/>
    <w:rsid w:val="00BA6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743"/>
    <w:pPr>
      <w:spacing w:before="160"/>
      <w:jc w:val="center"/>
    </w:pPr>
    <w:rPr>
      <w:i/>
      <w:iCs/>
      <w:color w:val="404040" w:themeColor="text1" w:themeTint="BF"/>
    </w:rPr>
  </w:style>
  <w:style w:type="character" w:customStyle="1" w:styleId="QuoteChar">
    <w:name w:val="Quote Char"/>
    <w:basedOn w:val="DefaultParagraphFont"/>
    <w:link w:val="Quote"/>
    <w:uiPriority w:val="29"/>
    <w:rsid w:val="00BA6743"/>
    <w:rPr>
      <w:i/>
      <w:iCs/>
      <w:color w:val="404040" w:themeColor="text1" w:themeTint="BF"/>
    </w:rPr>
  </w:style>
  <w:style w:type="paragraph" w:styleId="ListParagraph">
    <w:name w:val="List Paragraph"/>
    <w:basedOn w:val="Normal"/>
    <w:uiPriority w:val="34"/>
    <w:qFormat/>
    <w:rsid w:val="00BA6743"/>
    <w:pPr>
      <w:ind w:left="720"/>
      <w:contextualSpacing/>
    </w:pPr>
  </w:style>
  <w:style w:type="character" w:styleId="IntenseEmphasis">
    <w:name w:val="Intense Emphasis"/>
    <w:basedOn w:val="DefaultParagraphFont"/>
    <w:uiPriority w:val="21"/>
    <w:qFormat/>
    <w:rsid w:val="00BA6743"/>
    <w:rPr>
      <w:i/>
      <w:iCs/>
      <w:color w:val="0F4761" w:themeColor="accent1" w:themeShade="BF"/>
    </w:rPr>
  </w:style>
  <w:style w:type="paragraph" w:styleId="IntenseQuote">
    <w:name w:val="Intense Quote"/>
    <w:basedOn w:val="Normal"/>
    <w:next w:val="Normal"/>
    <w:link w:val="IntenseQuoteChar"/>
    <w:uiPriority w:val="30"/>
    <w:qFormat/>
    <w:rsid w:val="00BA6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743"/>
    <w:rPr>
      <w:i/>
      <w:iCs/>
      <w:color w:val="0F4761" w:themeColor="accent1" w:themeShade="BF"/>
    </w:rPr>
  </w:style>
  <w:style w:type="character" w:styleId="IntenseReference">
    <w:name w:val="Intense Reference"/>
    <w:basedOn w:val="DefaultParagraphFont"/>
    <w:uiPriority w:val="32"/>
    <w:qFormat/>
    <w:rsid w:val="00BA6743"/>
    <w:rPr>
      <w:b/>
      <w:bCs/>
      <w:smallCaps/>
      <w:color w:val="0F4761" w:themeColor="accent1" w:themeShade="BF"/>
      <w:spacing w:val="5"/>
    </w:rPr>
  </w:style>
  <w:style w:type="paragraph" w:styleId="NormalWeb">
    <w:name w:val="Normal (Web)"/>
    <w:basedOn w:val="Normal"/>
    <w:uiPriority w:val="99"/>
    <w:semiHidden/>
    <w:unhideWhenUsed/>
    <w:rsid w:val="0052491E"/>
    <w:rPr>
      <w:rFonts w:ascii="Times New Roman" w:hAnsi="Times New Roman" w:cs="Times New Roman"/>
      <w:sz w:val="24"/>
      <w:szCs w:val="24"/>
    </w:rPr>
  </w:style>
  <w:style w:type="table" w:styleId="TableGrid">
    <w:name w:val="Table Grid"/>
    <w:basedOn w:val="TableNormal"/>
    <w:uiPriority w:val="39"/>
    <w:rsid w:val="00CE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CE58C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
    <w:name w:val="Grid Table 6 Colorful"/>
    <w:basedOn w:val="TableNormal"/>
    <w:uiPriority w:val="51"/>
    <w:rsid w:val="00C764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F24E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1166">
      <w:bodyDiv w:val="1"/>
      <w:marLeft w:val="0"/>
      <w:marRight w:val="0"/>
      <w:marTop w:val="0"/>
      <w:marBottom w:val="0"/>
      <w:divBdr>
        <w:top w:val="none" w:sz="0" w:space="0" w:color="auto"/>
        <w:left w:val="none" w:sz="0" w:space="0" w:color="auto"/>
        <w:bottom w:val="none" w:sz="0" w:space="0" w:color="auto"/>
        <w:right w:val="none" w:sz="0" w:space="0" w:color="auto"/>
      </w:divBdr>
    </w:div>
    <w:div w:id="59451848">
      <w:bodyDiv w:val="1"/>
      <w:marLeft w:val="0"/>
      <w:marRight w:val="0"/>
      <w:marTop w:val="0"/>
      <w:marBottom w:val="0"/>
      <w:divBdr>
        <w:top w:val="none" w:sz="0" w:space="0" w:color="auto"/>
        <w:left w:val="none" w:sz="0" w:space="0" w:color="auto"/>
        <w:bottom w:val="none" w:sz="0" w:space="0" w:color="auto"/>
        <w:right w:val="none" w:sz="0" w:space="0" w:color="auto"/>
      </w:divBdr>
    </w:div>
    <w:div w:id="211817937">
      <w:bodyDiv w:val="1"/>
      <w:marLeft w:val="0"/>
      <w:marRight w:val="0"/>
      <w:marTop w:val="0"/>
      <w:marBottom w:val="0"/>
      <w:divBdr>
        <w:top w:val="none" w:sz="0" w:space="0" w:color="auto"/>
        <w:left w:val="none" w:sz="0" w:space="0" w:color="auto"/>
        <w:bottom w:val="none" w:sz="0" w:space="0" w:color="auto"/>
        <w:right w:val="none" w:sz="0" w:space="0" w:color="auto"/>
      </w:divBdr>
    </w:div>
    <w:div w:id="214392416">
      <w:bodyDiv w:val="1"/>
      <w:marLeft w:val="0"/>
      <w:marRight w:val="0"/>
      <w:marTop w:val="0"/>
      <w:marBottom w:val="0"/>
      <w:divBdr>
        <w:top w:val="none" w:sz="0" w:space="0" w:color="auto"/>
        <w:left w:val="none" w:sz="0" w:space="0" w:color="auto"/>
        <w:bottom w:val="none" w:sz="0" w:space="0" w:color="auto"/>
        <w:right w:val="none" w:sz="0" w:space="0" w:color="auto"/>
      </w:divBdr>
    </w:div>
    <w:div w:id="246574199">
      <w:bodyDiv w:val="1"/>
      <w:marLeft w:val="0"/>
      <w:marRight w:val="0"/>
      <w:marTop w:val="0"/>
      <w:marBottom w:val="0"/>
      <w:divBdr>
        <w:top w:val="none" w:sz="0" w:space="0" w:color="auto"/>
        <w:left w:val="none" w:sz="0" w:space="0" w:color="auto"/>
        <w:bottom w:val="none" w:sz="0" w:space="0" w:color="auto"/>
        <w:right w:val="none" w:sz="0" w:space="0" w:color="auto"/>
      </w:divBdr>
    </w:div>
    <w:div w:id="351732002">
      <w:bodyDiv w:val="1"/>
      <w:marLeft w:val="0"/>
      <w:marRight w:val="0"/>
      <w:marTop w:val="0"/>
      <w:marBottom w:val="0"/>
      <w:divBdr>
        <w:top w:val="none" w:sz="0" w:space="0" w:color="auto"/>
        <w:left w:val="none" w:sz="0" w:space="0" w:color="auto"/>
        <w:bottom w:val="none" w:sz="0" w:space="0" w:color="auto"/>
        <w:right w:val="none" w:sz="0" w:space="0" w:color="auto"/>
      </w:divBdr>
    </w:div>
    <w:div w:id="387072809">
      <w:bodyDiv w:val="1"/>
      <w:marLeft w:val="0"/>
      <w:marRight w:val="0"/>
      <w:marTop w:val="0"/>
      <w:marBottom w:val="0"/>
      <w:divBdr>
        <w:top w:val="none" w:sz="0" w:space="0" w:color="auto"/>
        <w:left w:val="none" w:sz="0" w:space="0" w:color="auto"/>
        <w:bottom w:val="none" w:sz="0" w:space="0" w:color="auto"/>
        <w:right w:val="none" w:sz="0" w:space="0" w:color="auto"/>
      </w:divBdr>
    </w:div>
    <w:div w:id="552623177">
      <w:bodyDiv w:val="1"/>
      <w:marLeft w:val="0"/>
      <w:marRight w:val="0"/>
      <w:marTop w:val="0"/>
      <w:marBottom w:val="0"/>
      <w:divBdr>
        <w:top w:val="none" w:sz="0" w:space="0" w:color="auto"/>
        <w:left w:val="none" w:sz="0" w:space="0" w:color="auto"/>
        <w:bottom w:val="none" w:sz="0" w:space="0" w:color="auto"/>
        <w:right w:val="none" w:sz="0" w:space="0" w:color="auto"/>
      </w:divBdr>
    </w:div>
    <w:div w:id="610212206">
      <w:bodyDiv w:val="1"/>
      <w:marLeft w:val="0"/>
      <w:marRight w:val="0"/>
      <w:marTop w:val="0"/>
      <w:marBottom w:val="0"/>
      <w:divBdr>
        <w:top w:val="none" w:sz="0" w:space="0" w:color="auto"/>
        <w:left w:val="none" w:sz="0" w:space="0" w:color="auto"/>
        <w:bottom w:val="none" w:sz="0" w:space="0" w:color="auto"/>
        <w:right w:val="none" w:sz="0" w:space="0" w:color="auto"/>
      </w:divBdr>
    </w:div>
    <w:div w:id="639923695">
      <w:bodyDiv w:val="1"/>
      <w:marLeft w:val="0"/>
      <w:marRight w:val="0"/>
      <w:marTop w:val="0"/>
      <w:marBottom w:val="0"/>
      <w:divBdr>
        <w:top w:val="none" w:sz="0" w:space="0" w:color="auto"/>
        <w:left w:val="none" w:sz="0" w:space="0" w:color="auto"/>
        <w:bottom w:val="none" w:sz="0" w:space="0" w:color="auto"/>
        <w:right w:val="none" w:sz="0" w:space="0" w:color="auto"/>
      </w:divBdr>
    </w:div>
    <w:div w:id="940795695">
      <w:bodyDiv w:val="1"/>
      <w:marLeft w:val="0"/>
      <w:marRight w:val="0"/>
      <w:marTop w:val="0"/>
      <w:marBottom w:val="0"/>
      <w:divBdr>
        <w:top w:val="none" w:sz="0" w:space="0" w:color="auto"/>
        <w:left w:val="none" w:sz="0" w:space="0" w:color="auto"/>
        <w:bottom w:val="none" w:sz="0" w:space="0" w:color="auto"/>
        <w:right w:val="none" w:sz="0" w:space="0" w:color="auto"/>
      </w:divBdr>
    </w:div>
    <w:div w:id="941842114">
      <w:bodyDiv w:val="1"/>
      <w:marLeft w:val="0"/>
      <w:marRight w:val="0"/>
      <w:marTop w:val="0"/>
      <w:marBottom w:val="0"/>
      <w:divBdr>
        <w:top w:val="none" w:sz="0" w:space="0" w:color="auto"/>
        <w:left w:val="none" w:sz="0" w:space="0" w:color="auto"/>
        <w:bottom w:val="none" w:sz="0" w:space="0" w:color="auto"/>
        <w:right w:val="none" w:sz="0" w:space="0" w:color="auto"/>
      </w:divBdr>
    </w:div>
    <w:div w:id="943001850">
      <w:bodyDiv w:val="1"/>
      <w:marLeft w:val="0"/>
      <w:marRight w:val="0"/>
      <w:marTop w:val="0"/>
      <w:marBottom w:val="0"/>
      <w:divBdr>
        <w:top w:val="none" w:sz="0" w:space="0" w:color="auto"/>
        <w:left w:val="none" w:sz="0" w:space="0" w:color="auto"/>
        <w:bottom w:val="none" w:sz="0" w:space="0" w:color="auto"/>
        <w:right w:val="none" w:sz="0" w:space="0" w:color="auto"/>
      </w:divBdr>
    </w:div>
    <w:div w:id="1011181401">
      <w:bodyDiv w:val="1"/>
      <w:marLeft w:val="0"/>
      <w:marRight w:val="0"/>
      <w:marTop w:val="0"/>
      <w:marBottom w:val="0"/>
      <w:divBdr>
        <w:top w:val="none" w:sz="0" w:space="0" w:color="auto"/>
        <w:left w:val="none" w:sz="0" w:space="0" w:color="auto"/>
        <w:bottom w:val="none" w:sz="0" w:space="0" w:color="auto"/>
        <w:right w:val="none" w:sz="0" w:space="0" w:color="auto"/>
      </w:divBdr>
    </w:div>
    <w:div w:id="1076588994">
      <w:bodyDiv w:val="1"/>
      <w:marLeft w:val="0"/>
      <w:marRight w:val="0"/>
      <w:marTop w:val="0"/>
      <w:marBottom w:val="0"/>
      <w:divBdr>
        <w:top w:val="none" w:sz="0" w:space="0" w:color="auto"/>
        <w:left w:val="none" w:sz="0" w:space="0" w:color="auto"/>
        <w:bottom w:val="none" w:sz="0" w:space="0" w:color="auto"/>
        <w:right w:val="none" w:sz="0" w:space="0" w:color="auto"/>
      </w:divBdr>
    </w:div>
    <w:div w:id="1086342812">
      <w:bodyDiv w:val="1"/>
      <w:marLeft w:val="0"/>
      <w:marRight w:val="0"/>
      <w:marTop w:val="0"/>
      <w:marBottom w:val="0"/>
      <w:divBdr>
        <w:top w:val="none" w:sz="0" w:space="0" w:color="auto"/>
        <w:left w:val="none" w:sz="0" w:space="0" w:color="auto"/>
        <w:bottom w:val="none" w:sz="0" w:space="0" w:color="auto"/>
        <w:right w:val="none" w:sz="0" w:space="0" w:color="auto"/>
      </w:divBdr>
    </w:div>
    <w:div w:id="1154419466">
      <w:bodyDiv w:val="1"/>
      <w:marLeft w:val="0"/>
      <w:marRight w:val="0"/>
      <w:marTop w:val="0"/>
      <w:marBottom w:val="0"/>
      <w:divBdr>
        <w:top w:val="none" w:sz="0" w:space="0" w:color="auto"/>
        <w:left w:val="none" w:sz="0" w:space="0" w:color="auto"/>
        <w:bottom w:val="none" w:sz="0" w:space="0" w:color="auto"/>
        <w:right w:val="none" w:sz="0" w:space="0" w:color="auto"/>
      </w:divBdr>
    </w:div>
    <w:div w:id="1228802180">
      <w:bodyDiv w:val="1"/>
      <w:marLeft w:val="0"/>
      <w:marRight w:val="0"/>
      <w:marTop w:val="0"/>
      <w:marBottom w:val="0"/>
      <w:divBdr>
        <w:top w:val="none" w:sz="0" w:space="0" w:color="auto"/>
        <w:left w:val="none" w:sz="0" w:space="0" w:color="auto"/>
        <w:bottom w:val="none" w:sz="0" w:space="0" w:color="auto"/>
        <w:right w:val="none" w:sz="0" w:space="0" w:color="auto"/>
      </w:divBdr>
    </w:div>
    <w:div w:id="1395154985">
      <w:bodyDiv w:val="1"/>
      <w:marLeft w:val="0"/>
      <w:marRight w:val="0"/>
      <w:marTop w:val="0"/>
      <w:marBottom w:val="0"/>
      <w:divBdr>
        <w:top w:val="none" w:sz="0" w:space="0" w:color="auto"/>
        <w:left w:val="none" w:sz="0" w:space="0" w:color="auto"/>
        <w:bottom w:val="none" w:sz="0" w:space="0" w:color="auto"/>
        <w:right w:val="none" w:sz="0" w:space="0" w:color="auto"/>
      </w:divBdr>
    </w:div>
    <w:div w:id="1494488118">
      <w:bodyDiv w:val="1"/>
      <w:marLeft w:val="0"/>
      <w:marRight w:val="0"/>
      <w:marTop w:val="0"/>
      <w:marBottom w:val="0"/>
      <w:divBdr>
        <w:top w:val="none" w:sz="0" w:space="0" w:color="auto"/>
        <w:left w:val="none" w:sz="0" w:space="0" w:color="auto"/>
        <w:bottom w:val="none" w:sz="0" w:space="0" w:color="auto"/>
        <w:right w:val="none" w:sz="0" w:space="0" w:color="auto"/>
      </w:divBdr>
    </w:div>
    <w:div w:id="1512531425">
      <w:bodyDiv w:val="1"/>
      <w:marLeft w:val="0"/>
      <w:marRight w:val="0"/>
      <w:marTop w:val="0"/>
      <w:marBottom w:val="0"/>
      <w:divBdr>
        <w:top w:val="none" w:sz="0" w:space="0" w:color="auto"/>
        <w:left w:val="none" w:sz="0" w:space="0" w:color="auto"/>
        <w:bottom w:val="none" w:sz="0" w:space="0" w:color="auto"/>
        <w:right w:val="none" w:sz="0" w:space="0" w:color="auto"/>
      </w:divBdr>
    </w:div>
    <w:div w:id="1558318652">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827041940">
      <w:bodyDiv w:val="1"/>
      <w:marLeft w:val="0"/>
      <w:marRight w:val="0"/>
      <w:marTop w:val="0"/>
      <w:marBottom w:val="0"/>
      <w:divBdr>
        <w:top w:val="none" w:sz="0" w:space="0" w:color="auto"/>
        <w:left w:val="none" w:sz="0" w:space="0" w:color="auto"/>
        <w:bottom w:val="none" w:sz="0" w:space="0" w:color="auto"/>
        <w:right w:val="none" w:sz="0" w:space="0" w:color="auto"/>
      </w:divBdr>
    </w:div>
    <w:div w:id="1849365705">
      <w:bodyDiv w:val="1"/>
      <w:marLeft w:val="0"/>
      <w:marRight w:val="0"/>
      <w:marTop w:val="0"/>
      <w:marBottom w:val="0"/>
      <w:divBdr>
        <w:top w:val="none" w:sz="0" w:space="0" w:color="auto"/>
        <w:left w:val="none" w:sz="0" w:space="0" w:color="auto"/>
        <w:bottom w:val="none" w:sz="0" w:space="0" w:color="auto"/>
        <w:right w:val="none" w:sz="0" w:space="0" w:color="auto"/>
      </w:divBdr>
    </w:div>
    <w:div w:id="20748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Mishaal (BIRMINGHAM WOMEN'S AND CHILDREN'S NHS FOUNDATION TRUST)</dc:creator>
  <cp:keywords/>
  <dc:description/>
  <cp:lastModifiedBy>AMIR, Mishaal (BIRMINGHAM WOMEN'S AND CHILDREN'S NHS FOUNDATION TRUST)</cp:lastModifiedBy>
  <cp:revision>33</cp:revision>
  <dcterms:created xsi:type="dcterms:W3CDTF">2025-04-04T18:53:00Z</dcterms:created>
  <dcterms:modified xsi:type="dcterms:W3CDTF">2025-05-21T15:50:00Z</dcterms:modified>
</cp:coreProperties>
</file>