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AD5D9" w14:textId="6A568825" w:rsidR="0009123B" w:rsidRPr="00C1731A" w:rsidRDefault="003B743B" w:rsidP="00C1731A">
      <w:pPr>
        <w:pStyle w:val="Heading1"/>
        <w:jc w:val="center"/>
        <w:rPr>
          <w:sz w:val="32"/>
          <w:szCs w:val="32"/>
        </w:rPr>
      </w:pPr>
      <w:r w:rsidRPr="00C1731A">
        <w:rPr>
          <w:b/>
          <w:bCs/>
          <w:sz w:val="32"/>
          <w:szCs w:val="32"/>
        </w:rPr>
        <w:t>TA</w:t>
      </w:r>
      <w:r w:rsidR="001554C0" w:rsidRPr="00C1731A">
        <w:rPr>
          <w:b/>
          <w:bCs/>
          <w:sz w:val="32"/>
          <w:szCs w:val="32"/>
        </w:rPr>
        <w:t>6</w:t>
      </w:r>
      <w:r w:rsidRPr="00C1731A">
        <w:rPr>
          <w:b/>
          <w:bCs/>
          <w:sz w:val="32"/>
          <w:szCs w:val="32"/>
        </w:rPr>
        <w:t>:</w:t>
      </w:r>
      <w:r w:rsidRPr="00C1731A">
        <w:rPr>
          <w:sz w:val="32"/>
          <w:szCs w:val="32"/>
        </w:rPr>
        <w:t xml:space="preserve"> </w:t>
      </w:r>
      <w:r w:rsidR="00A45FD8" w:rsidRPr="00C1731A">
        <w:rPr>
          <w:sz w:val="32"/>
          <w:szCs w:val="32"/>
        </w:rPr>
        <w:t>Summarise a range of digital health tools intended for patient use providing an assessment of usefulness and provide a</w:t>
      </w:r>
      <w:r w:rsidR="00D80F86" w:rsidRPr="00C1731A">
        <w:rPr>
          <w:sz w:val="32"/>
          <w:szCs w:val="32"/>
        </w:rPr>
        <w:t xml:space="preserve"> </w:t>
      </w:r>
      <w:r w:rsidR="00A45FD8" w:rsidRPr="00C1731A">
        <w:rPr>
          <w:sz w:val="32"/>
          <w:szCs w:val="32"/>
        </w:rPr>
        <w:t>recommendation for applicability to a specific workflow</w:t>
      </w:r>
    </w:p>
    <w:p w14:paraId="67A005C8" w14:textId="77777777" w:rsidR="007566DE" w:rsidRDefault="007566DE" w:rsidP="00865172"/>
    <w:p w14:paraId="6C532124" w14:textId="5C28D618" w:rsidR="007566DE" w:rsidRPr="0017017A" w:rsidRDefault="007566DE" w:rsidP="007566DE">
      <w:pPr>
        <w:rPr>
          <w:b/>
          <w:bCs/>
          <w:sz w:val="32"/>
          <w:szCs w:val="32"/>
        </w:rPr>
      </w:pPr>
      <w:r w:rsidRPr="0017017A">
        <w:rPr>
          <w:b/>
          <w:bCs/>
          <w:sz w:val="32"/>
          <w:szCs w:val="32"/>
        </w:rPr>
        <w:t>Congenica</w:t>
      </w:r>
      <w:r w:rsidR="00A51E20" w:rsidRPr="0017017A">
        <w:rPr>
          <w:b/>
          <w:bCs/>
          <w:sz w:val="32"/>
          <w:szCs w:val="32"/>
        </w:rPr>
        <w:t xml:space="preserve"> </w:t>
      </w:r>
    </w:p>
    <w:p w14:paraId="59C7063A" w14:textId="3A3BB32F" w:rsidR="00A51E20" w:rsidRDefault="00A51E20" w:rsidP="00A51E20">
      <w:pPr>
        <w:jc w:val="both"/>
        <w:rPr>
          <w:sz w:val="24"/>
          <w:szCs w:val="24"/>
        </w:rPr>
      </w:pPr>
      <w:r w:rsidRPr="00A51E20">
        <w:rPr>
          <w:sz w:val="24"/>
          <w:szCs w:val="24"/>
        </w:rPr>
        <w:t>Congenica is a clinical decision support platform designed for the analysis and interpretation of Rare Disease Genomic Data. Specifically, it is used to interpret rare disease sequence variants identified in N</w:t>
      </w:r>
      <w:r w:rsidR="00767850">
        <w:rPr>
          <w:sz w:val="24"/>
          <w:szCs w:val="24"/>
        </w:rPr>
        <w:t xml:space="preserve">ext </w:t>
      </w:r>
      <w:r w:rsidRPr="00A51E20">
        <w:rPr>
          <w:sz w:val="24"/>
          <w:szCs w:val="24"/>
        </w:rPr>
        <w:t>G</w:t>
      </w:r>
      <w:r w:rsidR="00767850">
        <w:rPr>
          <w:sz w:val="24"/>
          <w:szCs w:val="24"/>
        </w:rPr>
        <w:t xml:space="preserve">eneration </w:t>
      </w:r>
      <w:r w:rsidRPr="00A51E20">
        <w:rPr>
          <w:sz w:val="24"/>
          <w:szCs w:val="24"/>
        </w:rPr>
        <w:t>S</w:t>
      </w:r>
      <w:r w:rsidR="00767850">
        <w:rPr>
          <w:sz w:val="24"/>
          <w:szCs w:val="24"/>
        </w:rPr>
        <w:t>equencing</w:t>
      </w:r>
      <w:r w:rsidRPr="00A51E20">
        <w:rPr>
          <w:sz w:val="24"/>
          <w:szCs w:val="24"/>
        </w:rPr>
        <w:t xml:space="preserve"> analysis.</w:t>
      </w:r>
    </w:p>
    <w:p w14:paraId="7AF1350B" w14:textId="5BF7CD98" w:rsidR="00865172" w:rsidRPr="003C07C6" w:rsidRDefault="00865172" w:rsidP="00865172">
      <w:pPr>
        <w:jc w:val="both"/>
        <w:rPr>
          <w:i/>
          <w:iCs/>
          <w:sz w:val="24"/>
          <w:szCs w:val="24"/>
        </w:rPr>
      </w:pPr>
      <w:r w:rsidRPr="003C07C6">
        <w:rPr>
          <w:i/>
          <w:iCs/>
          <w:sz w:val="24"/>
          <w:szCs w:val="24"/>
        </w:rPr>
        <w:t xml:space="preserve">Key </w:t>
      </w:r>
      <w:r w:rsidR="00556377" w:rsidRPr="003C07C6">
        <w:rPr>
          <w:i/>
          <w:iCs/>
          <w:sz w:val="24"/>
          <w:szCs w:val="24"/>
        </w:rPr>
        <w:t>U</w:t>
      </w:r>
      <w:r w:rsidRPr="003C07C6">
        <w:rPr>
          <w:i/>
          <w:iCs/>
          <w:sz w:val="24"/>
          <w:szCs w:val="24"/>
        </w:rPr>
        <w:t>seful Functionalities:</w:t>
      </w:r>
    </w:p>
    <w:p w14:paraId="128CD691" w14:textId="4A112A32" w:rsidR="00865172" w:rsidRPr="00865172" w:rsidRDefault="00865172" w:rsidP="00865172">
      <w:pPr>
        <w:numPr>
          <w:ilvl w:val="0"/>
          <w:numId w:val="6"/>
        </w:numPr>
        <w:jc w:val="both"/>
        <w:rPr>
          <w:sz w:val="24"/>
          <w:szCs w:val="24"/>
        </w:rPr>
      </w:pPr>
      <w:r w:rsidRPr="00767850">
        <w:rPr>
          <w:sz w:val="24"/>
          <w:szCs w:val="24"/>
        </w:rPr>
        <w:t xml:space="preserve">Variant Classification: </w:t>
      </w:r>
      <w:r w:rsidRPr="00865172">
        <w:rPr>
          <w:sz w:val="24"/>
          <w:szCs w:val="24"/>
        </w:rPr>
        <w:t>Utili</w:t>
      </w:r>
      <w:r w:rsidRPr="007F62C5">
        <w:rPr>
          <w:sz w:val="24"/>
          <w:szCs w:val="24"/>
        </w:rPr>
        <w:t>s</w:t>
      </w:r>
      <w:r w:rsidRPr="00865172">
        <w:rPr>
          <w:sz w:val="24"/>
          <w:szCs w:val="24"/>
        </w:rPr>
        <w:t xml:space="preserve">es </w:t>
      </w:r>
      <w:r w:rsidR="00C078ED">
        <w:rPr>
          <w:sz w:val="24"/>
          <w:szCs w:val="24"/>
        </w:rPr>
        <w:t xml:space="preserve">decision trees </w:t>
      </w:r>
      <w:r w:rsidRPr="00865172">
        <w:rPr>
          <w:sz w:val="24"/>
          <w:szCs w:val="24"/>
        </w:rPr>
        <w:t xml:space="preserve">to automatically classify known variants, </w:t>
      </w:r>
      <w:r w:rsidR="00C078ED">
        <w:rPr>
          <w:sz w:val="24"/>
          <w:szCs w:val="24"/>
        </w:rPr>
        <w:t>a</w:t>
      </w:r>
      <w:r w:rsidRPr="007F62C5">
        <w:rPr>
          <w:sz w:val="24"/>
          <w:szCs w:val="24"/>
        </w:rPr>
        <w:t>utomation reduces analysis time, enabling faster turnaround for results.</w:t>
      </w:r>
    </w:p>
    <w:p w14:paraId="40103DFC" w14:textId="5EC89A9F" w:rsidR="00865172" w:rsidRPr="00865172" w:rsidRDefault="00865172" w:rsidP="00865172">
      <w:pPr>
        <w:numPr>
          <w:ilvl w:val="0"/>
          <w:numId w:val="6"/>
        </w:numPr>
        <w:jc w:val="both"/>
        <w:rPr>
          <w:sz w:val="24"/>
          <w:szCs w:val="24"/>
        </w:rPr>
      </w:pPr>
      <w:r w:rsidRPr="00767850">
        <w:rPr>
          <w:sz w:val="24"/>
          <w:szCs w:val="24"/>
        </w:rPr>
        <w:t>Phenotype-Driven Analysis:</w:t>
      </w:r>
      <w:r w:rsidRPr="00865172">
        <w:rPr>
          <w:sz w:val="24"/>
          <w:szCs w:val="24"/>
        </w:rPr>
        <w:t xml:space="preserve"> Integrates patient phenotype information to prioriti</w:t>
      </w:r>
      <w:r w:rsidRPr="007F62C5">
        <w:rPr>
          <w:sz w:val="24"/>
          <w:szCs w:val="24"/>
        </w:rPr>
        <w:t>s</w:t>
      </w:r>
      <w:r w:rsidRPr="00865172">
        <w:rPr>
          <w:sz w:val="24"/>
          <w:szCs w:val="24"/>
        </w:rPr>
        <w:t>e variants relevant to the clinical presentation.</w:t>
      </w:r>
      <w:r w:rsidRPr="007F62C5">
        <w:rPr>
          <w:sz w:val="24"/>
          <w:szCs w:val="24"/>
        </w:rPr>
        <w:t xml:space="preserve"> </w:t>
      </w:r>
    </w:p>
    <w:p w14:paraId="4CAF7479" w14:textId="10169115" w:rsidR="00865172" w:rsidRPr="00865172" w:rsidRDefault="00A366CA" w:rsidP="00865172">
      <w:pPr>
        <w:numPr>
          <w:ilvl w:val="0"/>
          <w:numId w:val="6"/>
        </w:numPr>
        <w:jc w:val="both"/>
        <w:rPr>
          <w:sz w:val="24"/>
          <w:szCs w:val="24"/>
        </w:rPr>
      </w:pPr>
      <w:r>
        <w:rPr>
          <w:noProof/>
        </w:rPr>
        <mc:AlternateContent>
          <mc:Choice Requires="wps">
            <w:drawing>
              <wp:anchor distT="0" distB="0" distL="114300" distR="114300" simplePos="0" relativeHeight="251661312" behindDoc="1" locked="0" layoutInCell="1" allowOverlap="1" wp14:anchorId="27A72A7B" wp14:editId="42FF4F6F">
                <wp:simplePos x="0" y="0"/>
                <wp:positionH relativeFrom="margin">
                  <wp:posOffset>-797560</wp:posOffset>
                </wp:positionH>
                <wp:positionV relativeFrom="paragraph">
                  <wp:posOffset>3428365</wp:posOffset>
                </wp:positionV>
                <wp:extent cx="7325360" cy="1466850"/>
                <wp:effectExtent l="0" t="0" r="8890" b="0"/>
                <wp:wrapTight wrapText="bothSides">
                  <wp:wrapPolygon edited="0">
                    <wp:start x="0" y="0"/>
                    <wp:lineTo x="0" y="21319"/>
                    <wp:lineTo x="21570" y="21319"/>
                    <wp:lineTo x="21570" y="0"/>
                    <wp:lineTo x="0" y="0"/>
                  </wp:wrapPolygon>
                </wp:wrapTight>
                <wp:docPr id="853231348" name="Text Box 1"/>
                <wp:cNvGraphicFramePr/>
                <a:graphic xmlns:a="http://schemas.openxmlformats.org/drawingml/2006/main">
                  <a:graphicData uri="http://schemas.microsoft.com/office/word/2010/wordprocessingShape">
                    <wps:wsp>
                      <wps:cNvSpPr txBox="1"/>
                      <wps:spPr>
                        <a:xfrm>
                          <a:off x="0" y="0"/>
                          <a:ext cx="7325360" cy="1466850"/>
                        </a:xfrm>
                        <a:prstGeom prst="rect">
                          <a:avLst/>
                        </a:prstGeom>
                        <a:solidFill>
                          <a:prstClr val="white"/>
                        </a:solidFill>
                        <a:ln>
                          <a:noFill/>
                        </a:ln>
                      </wps:spPr>
                      <wps:txbx>
                        <w:txbxContent>
                          <w:p w14:paraId="12C4C9A5" w14:textId="111CDCB0" w:rsidR="00C078ED" w:rsidRDefault="00C078ED" w:rsidP="00C078ED">
                            <w:pPr>
                              <w:pStyle w:val="Caption"/>
                              <w:rPr>
                                <w:i w:val="0"/>
                                <w:iCs w:val="0"/>
                                <w:color w:val="000000" w:themeColor="text1"/>
                                <w:sz w:val="24"/>
                                <w:szCs w:val="24"/>
                              </w:rPr>
                            </w:pPr>
                            <w:r w:rsidRPr="00C078ED">
                              <w:rPr>
                                <w:i w:val="0"/>
                                <w:iCs w:val="0"/>
                                <w:color w:val="000000" w:themeColor="text1"/>
                                <w:sz w:val="24"/>
                                <w:szCs w:val="24"/>
                              </w:rPr>
                              <w:t xml:space="preserve">Figure </w:t>
                            </w:r>
                            <w:r w:rsidRPr="00C078ED">
                              <w:rPr>
                                <w:i w:val="0"/>
                                <w:iCs w:val="0"/>
                                <w:color w:val="000000" w:themeColor="text1"/>
                                <w:sz w:val="24"/>
                                <w:szCs w:val="24"/>
                              </w:rPr>
                              <w:fldChar w:fldCharType="begin"/>
                            </w:r>
                            <w:r w:rsidRPr="00C078ED">
                              <w:rPr>
                                <w:i w:val="0"/>
                                <w:iCs w:val="0"/>
                                <w:color w:val="000000" w:themeColor="text1"/>
                                <w:sz w:val="24"/>
                                <w:szCs w:val="24"/>
                              </w:rPr>
                              <w:instrText xml:space="preserve"> SEQ Figure \* ARABIC </w:instrText>
                            </w:r>
                            <w:r w:rsidRPr="00C078ED">
                              <w:rPr>
                                <w:i w:val="0"/>
                                <w:iCs w:val="0"/>
                                <w:color w:val="000000" w:themeColor="text1"/>
                                <w:sz w:val="24"/>
                                <w:szCs w:val="24"/>
                              </w:rPr>
                              <w:fldChar w:fldCharType="separate"/>
                            </w:r>
                            <w:r w:rsidR="00970927">
                              <w:rPr>
                                <w:i w:val="0"/>
                                <w:iCs w:val="0"/>
                                <w:noProof/>
                                <w:color w:val="000000" w:themeColor="text1"/>
                                <w:sz w:val="24"/>
                                <w:szCs w:val="24"/>
                              </w:rPr>
                              <w:t>1</w:t>
                            </w:r>
                            <w:r w:rsidRPr="00C078ED">
                              <w:rPr>
                                <w:i w:val="0"/>
                                <w:iCs w:val="0"/>
                                <w:color w:val="000000" w:themeColor="text1"/>
                                <w:sz w:val="24"/>
                                <w:szCs w:val="24"/>
                              </w:rPr>
                              <w:fldChar w:fldCharType="end"/>
                            </w:r>
                            <w:r w:rsidRPr="00C078ED">
                              <w:rPr>
                                <w:i w:val="0"/>
                                <w:iCs w:val="0"/>
                                <w:color w:val="000000" w:themeColor="text1"/>
                                <w:sz w:val="24"/>
                                <w:szCs w:val="24"/>
                              </w:rPr>
                              <w:t>:  Congenica Rare Disease Dashboard Interface.</w:t>
                            </w:r>
                          </w:p>
                          <w:p w14:paraId="76AC03AF" w14:textId="3834D09B" w:rsidR="00C078ED" w:rsidRPr="00C078ED" w:rsidRDefault="00C078ED" w:rsidP="00C078ED">
                            <w:pPr>
                              <w:pStyle w:val="Caption"/>
                              <w:jc w:val="both"/>
                              <w:rPr>
                                <w:i w:val="0"/>
                                <w:iCs w:val="0"/>
                                <w:color w:val="000000" w:themeColor="text1"/>
                                <w:sz w:val="24"/>
                                <w:szCs w:val="24"/>
                              </w:rPr>
                            </w:pPr>
                            <w:r w:rsidRPr="00C078ED">
                              <w:rPr>
                                <w:i w:val="0"/>
                                <w:iCs w:val="0"/>
                                <w:color w:val="000000" w:themeColor="text1"/>
                                <w:sz w:val="24"/>
                                <w:szCs w:val="24"/>
                              </w:rPr>
                              <w:br/>
                              <w:t xml:space="preserve">This </w:t>
                            </w:r>
                            <w:r>
                              <w:rPr>
                                <w:i w:val="0"/>
                                <w:iCs w:val="0"/>
                                <w:color w:val="000000" w:themeColor="text1"/>
                                <w:sz w:val="24"/>
                                <w:szCs w:val="24"/>
                              </w:rPr>
                              <w:t xml:space="preserve">is </w:t>
                            </w:r>
                            <w:r w:rsidRPr="00C078ED">
                              <w:rPr>
                                <w:i w:val="0"/>
                                <w:iCs w:val="0"/>
                                <w:color w:val="000000" w:themeColor="text1"/>
                                <w:sz w:val="24"/>
                                <w:szCs w:val="24"/>
                              </w:rPr>
                              <w:t>the main patient dashboard within the Congenica platform, used for genomic analysis in rare disease diagnostics. Each row represents an individual patient case, summari</w:t>
                            </w:r>
                            <w:r>
                              <w:rPr>
                                <w:i w:val="0"/>
                                <w:iCs w:val="0"/>
                                <w:color w:val="000000" w:themeColor="text1"/>
                                <w:sz w:val="24"/>
                                <w:szCs w:val="24"/>
                              </w:rPr>
                              <w:t>s</w:t>
                            </w:r>
                            <w:r w:rsidRPr="00C078ED">
                              <w:rPr>
                                <w:i w:val="0"/>
                                <w:iCs w:val="0"/>
                                <w:color w:val="000000" w:themeColor="text1"/>
                                <w:sz w:val="24"/>
                                <w:szCs w:val="24"/>
                              </w:rPr>
                              <w:t>ing key metadata including analysis status, gene panel used, CNV analysis completion, protocol, sample type and report availability. Users can filter, search and access detailed clinical reports directly via the "View report" button. The dashboard facilitates streamlined tracking and management of large-scale rare disease genomic workflows.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72A7B" id="_x0000_t202" coordsize="21600,21600" o:spt="202" path="m,l,21600r21600,l21600,xe">
                <v:stroke joinstyle="miter"/>
                <v:path gradientshapeok="t" o:connecttype="rect"/>
              </v:shapetype>
              <v:shape id="Text Box 1" o:spid="_x0000_s1026" type="#_x0000_t202" style="position:absolute;left:0;text-align:left;margin-left:-62.8pt;margin-top:269.95pt;width:576.8pt;height:11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" stroked="f">
                <v:textbox inset="0,0,0,0">
                  <w:txbxContent>
                    <w:p w14:paraId="12C4C9A5" w14:textId="111CDCB0" w:rsidR="00C078ED" w:rsidRDefault="00C078ED" w:rsidP="00C078ED">
                      <w:pPr>
                        <w:pStyle w:val="Caption"/>
                        <w:rPr>
                          <w:i w:val="0"/>
                          <w:iCs w:val="0"/>
                          <w:color w:val="000000" w:themeColor="text1"/>
                          <w:sz w:val="24"/>
                          <w:szCs w:val="24"/>
                        </w:rPr>
                      </w:pPr>
                      <w:r w:rsidRPr="00C078ED">
                        <w:rPr>
                          <w:i w:val="0"/>
                          <w:iCs w:val="0"/>
                          <w:color w:val="000000" w:themeColor="text1"/>
                          <w:sz w:val="24"/>
                          <w:szCs w:val="24"/>
                        </w:rPr>
                        <w:t xml:space="preserve">Figure </w:t>
                      </w:r>
                      <w:r w:rsidRPr="00C078ED">
                        <w:rPr>
                          <w:i w:val="0"/>
                          <w:iCs w:val="0"/>
                          <w:color w:val="000000" w:themeColor="text1"/>
                          <w:sz w:val="24"/>
                          <w:szCs w:val="24"/>
                        </w:rPr>
                        <w:fldChar w:fldCharType="begin"/>
                      </w:r>
                      <w:r w:rsidRPr="00C078ED">
                        <w:rPr>
                          <w:i w:val="0"/>
                          <w:iCs w:val="0"/>
                          <w:color w:val="000000" w:themeColor="text1"/>
                          <w:sz w:val="24"/>
                          <w:szCs w:val="24"/>
                        </w:rPr>
                        <w:instrText xml:space="preserve"> SEQ Figure \* ARABIC </w:instrText>
                      </w:r>
                      <w:r w:rsidRPr="00C078ED">
                        <w:rPr>
                          <w:i w:val="0"/>
                          <w:iCs w:val="0"/>
                          <w:color w:val="000000" w:themeColor="text1"/>
                          <w:sz w:val="24"/>
                          <w:szCs w:val="24"/>
                        </w:rPr>
                        <w:fldChar w:fldCharType="separate"/>
                      </w:r>
                      <w:r w:rsidR="00970927">
                        <w:rPr>
                          <w:i w:val="0"/>
                          <w:iCs w:val="0"/>
                          <w:noProof/>
                          <w:color w:val="000000" w:themeColor="text1"/>
                          <w:sz w:val="24"/>
                          <w:szCs w:val="24"/>
                        </w:rPr>
                        <w:t>1</w:t>
                      </w:r>
                      <w:r w:rsidRPr="00C078ED">
                        <w:rPr>
                          <w:i w:val="0"/>
                          <w:iCs w:val="0"/>
                          <w:color w:val="000000" w:themeColor="text1"/>
                          <w:sz w:val="24"/>
                          <w:szCs w:val="24"/>
                        </w:rPr>
                        <w:fldChar w:fldCharType="end"/>
                      </w:r>
                      <w:r w:rsidRPr="00C078ED">
                        <w:rPr>
                          <w:i w:val="0"/>
                          <w:iCs w:val="0"/>
                          <w:color w:val="000000" w:themeColor="text1"/>
                          <w:sz w:val="24"/>
                          <w:szCs w:val="24"/>
                        </w:rPr>
                        <w:t>:  Congenica Rare Disease Dashboard Interface.</w:t>
                      </w:r>
                    </w:p>
                    <w:p w14:paraId="76AC03AF" w14:textId="3834D09B" w:rsidR="00C078ED" w:rsidRPr="00C078ED" w:rsidRDefault="00C078ED" w:rsidP="00C078ED">
                      <w:pPr>
                        <w:pStyle w:val="Caption"/>
                        <w:jc w:val="both"/>
                        <w:rPr>
                          <w:i w:val="0"/>
                          <w:iCs w:val="0"/>
                          <w:color w:val="000000" w:themeColor="text1"/>
                          <w:sz w:val="24"/>
                          <w:szCs w:val="24"/>
                        </w:rPr>
                      </w:pPr>
                      <w:r w:rsidRPr="00C078ED">
                        <w:rPr>
                          <w:i w:val="0"/>
                          <w:iCs w:val="0"/>
                          <w:color w:val="000000" w:themeColor="text1"/>
                          <w:sz w:val="24"/>
                          <w:szCs w:val="24"/>
                        </w:rPr>
                        <w:br/>
                        <w:t xml:space="preserve">This </w:t>
                      </w:r>
                      <w:r>
                        <w:rPr>
                          <w:i w:val="0"/>
                          <w:iCs w:val="0"/>
                          <w:color w:val="000000" w:themeColor="text1"/>
                          <w:sz w:val="24"/>
                          <w:szCs w:val="24"/>
                        </w:rPr>
                        <w:t xml:space="preserve">is </w:t>
                      </w:r>
                      <w:r w:rsidRPr="00C078ED">
                        <w:rPr>
                          <w:i w:val="0"/>
                          <w:iCs w:val="0"/>
                          <w:color w:val="000000" w:themeColor="text1"/>
                          <w:sz w:val="24"/>
                          <w:szCs w:val="24"/>
                        </w:rPr>
                        <w:t>the main patient dashboard within the Congenica platform, used for genomic analysis in rare disease diagnostics. Each row represents an individual patient case, summari</w:t>
                      </w:r>
                      <w:r>
                        <w:rPr>
                          <w:i w:val="0"/>
                          <w:iCs w:val="0"/>
                          <w:color w:val="000000" w:themeColor="text1"/>
                          <w:sz w:val="24"/>
                          <w:szCs w:val="24"/>
                        </w:rPr>
                        <w:t>s</w:t>
                      </w:r>
                      <w:r w:rsidRPr="00C078ED">
                        <w:rPr>
                          <w:i w:val="0"/>
                          <w:iCs w:val="0"/>
                          <w:color w:val="000000" w:themeColor="text1"/>
                          <w:sz w:val="24"/>
                          <w:szCs w:val="24"/>
                        </w:rPr>
                        <w:t>ing key metadata including analysis status, gene panel used, CNV analysis completion, protocol, sample type and report availability. Users can filter, search and access detailed clinical reports directly via the "View report" button. The dashboard facilitates streamlined tracking and management of large-scale rare disease genomic workflows.</w:t>
                      </w:r>
                    </w:p>
                  </w:txbxContent>
                </v:textbox>
                <w10:wrap type="tight" anchorx="margin"/>
              </v:shape>
            </w:pict>
          </mc:Fallback>
        </mc:AlternateContent>
      </w:r>
      <w:r w:rsidR="00634B83" w:rsidRPr="00767850">
        <w:rPr>
          <w:noProof/>
        </w:rPr>
        <w:drawing>
          <wp:anchor distT="0" distB="0" distL="114300" distR="114300" simplePos="0" relativeHeight="251658240" behindDoc="1" locked="0" layoutInCell="1" allowOverlap="1" wp14:anchorId="52645DD2" wp14:editId="6E13990D">
            <wp:simplePos x="0" y="0"/>
            <wp:positionH relativeFrom="page">
              <wp:align>right</wp:align>
            </wp:positionH>
            <wp:positionV relativeFrom="paragraph">
              <wp:posOffset>496461</wp:posOffset>
            </wp:positionV>
            <wp:extent cx="7422749" cy="2889940"/>
            <wp:effectExtent l="0" t="0" r="6985" b="5715"/>
            <wp:wrapTight wrapText="bothSides">
              <wp:wrapPolygon edited="0">
                <wp:start x="0" y="0"/>
                <wp:lineTo x="0" y="21500"/>
                <wp:lineTo x="21565" y="21500"/>
                <wp:lineTo x="21565" y="0"/>
                <wp:lineTo x="0" y="0"/>
              </wp:wrapPolygon>
            </wp:wrapTight>
            <wp:docPr id="1024700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0427"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8955" t="16565"/>
                    <a:stretch/>
                  </pic:blipFill>
                  <pic:spPr bwMode="auto">
                    <a:xfrm>
                      <a:off x="0" y="0"/>
                      <a:ext cx="7422749" cy="288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172" w:rsidRPr="00767850">
        <w:rPr>
          <w:sz w:val="24"/>
          <w:szCs w:val="24"/>
        </w:rPr>
        <w:t>Comprehensive Reporting:</w:t>
      </w:r>
      <w:r w:rsidR="00865172" w:rsidRPr="00865172">
        <w:rPr>
          <w:sz w:val="24"/>
          <w:szCs w:val="24"/>
        </w:rPr>
        <w:t xml:space="preserve"> Generates reports suitable for clinical decision-making.</w:t>
      </w:r>
    </w:p>
    <w:p w14:paraId="08F19CE7" w14:textId="1A48315C" w:rsidR="00865172" w:rsidRDefault="00A366CA" w:rsidP="00A51E20">
      <w:pPr>
        <w:jc w:val="both"/>
        <w:rPr>
          <w:sz w:val="24"/>
          <w:szCs w:val="24"/>
        </w:rPr>
      </w:pPr>
      <w:r>
        <w:rPr>
          <w:noProof/>
        </w:rPr>
        <w:lastRenderedPageBreak/>
        <mc:AlternateContent>
          <mc:Choice Requires="wps">
            <w:drawing>
              <wp:anchor distT="0" distB="0" distL="114300" distR="114300" simplePos="0" relativeHeight="251669504" behindDoc="0" locked="0" layoutInCell="1" allowOverlap="1" wp14:anchorId="342917B7" wp14:editId="4300F537">
                <wp:simplePos x="0" y="0"/>
                <wp:positionH relativeFrom="page">
                  <wp:align>left</wp:align>
                </wp:positionH>
                <wp:positionV relativeFrom="paragraph">
                  <wp:posOffset>507557</wp:posOffset>
                </wp:positionV>
                <wp:extent cx="7417558" cy="129654"/>
                <wp:effectExtent l="0" t="0" r="12065" b="22860"/>
                <wp:wrapNone/>
                <wp:docPr id="399597012" name="Rectangle 3"/>
                <wp:cNvGraphicFramePr/>
                <a:graphic xmlns:a="http://schemas.openxmlformats.org/drawingml/2006/main">
                  <a:graphicData uri="http://schemas.microsoft.com/office/word/2010/wordprocessingShape">
                    <wps:wsp>
                      <wps:cNvSpPr/>
                      <wps:spPr>
                        <a:xfrm>
                          <a:off x="0" y="0"/>
                          <a:ext cx="7417558" cy="12965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838D9" id="Rectangle 3" o:spid="_x0000_s1026" style="position:absolute;margin-left:0;margin-top:39.95pt;width:584.05pt;height:10.2pt;z-index:25166950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" fillcolor="black [3200]" strokecolor="black [480]" strokeweight="1pt">
                <w10:wrap anchorx="page"/>
              </v:rect>
            </w:pict>
          </mc:Fallback>
        </mc:AlternateContent>
      </w:r>
      <w:r>
        <w:rPr>
          <w:noProof/>
        </w:rPr>
        <mc:AlternateContent>
          <mc:Choice Requires="wps">
            <w:drawing>
              <wp:anchor distT="0" distB="0" distL="114300" distR="114300" simplePos="0" relativeHeight="251665408" behindDoc="0" locked="0" layoutInCell="1" allowOverlap="1" wp14:anchorId="0F556E93" wp14:editId="71FB8B70">
                <wp:simplePos x="0" y="0"/>
                <wp:positionH relativeFrom="margin">
                  <wp:align>center</wp:align>
                </wp:positionH>
                <wp:positionV relativeFrom="paragraph">
                  <wp:posOffset>2259227</wp:posOffset>
                </wp:positionV>
                <wp:extent cx="7353300" cy="635"/>
                <wp:effectExtent l="0" t="0" r="0" b="0"/>
                <wp:wrapSquare wrapText="bothSides"/>
                <wp:docPr id="2037084047" name="Text Box 1"/>
                <wp:cNvGraphicFramePr/>
                <a:graphic xmlns:a="http://schemas.openxmlformats.org/drawingml/2006/main">
                  <a:graphicData uri="http://schemas.microsoft.com/office/word/2010/wordprocessingShape">
                    <wps:wsp>
                      <wps:cNvSpPr txBox="1"/>
                      <wps:spPr>
                        <a:xfrm>
                          <a:off x="0" y="0"/>
                          <a:ext cx="7353300" cy="635"/>
                        </a:xfrm>
                        <a:prstGeom prst="rect">
                          <a:avLst/>
                        </a:prstGeom>
                        <a:solidFill>
                          <a:prstClr val="white"/>
                        </a:solidFill>
                        <a:ln>
                          <a:noFill/>
                        </a:ln>
                      </wps:spPr>
                      <wps:txbx>
                        <w:txbxContent>
                          <w:p w14:paraId="5AD16360" w14:textId="044B0981" w:rsidR="0022486B" w:rsidRDefault="0022486B" w:rsidP="0022486B">
                            <w:pPr>
                              <w:pStyle w:val="Caption"/>
                              <w:rPr>
                                <w:i w:val="0"/>
                                <w:iCs w:val="0"/>
                                <w:color w:val="000000" w:themeColor="text1"/>
                                <w:sz w:val="24"/>
                                <w:szCs w:val="24"/>
                              </w:rPr>
                            </w:pPr>
                            <w:r w:rsidRPr="0022486B">
                              <w:rPr>
                                <w:i w:val="0"/>
                                <w:iCs w:val="0"/>
                                <w:color w:val="000000" w:themeColor="text1"/>
                                <w:sz w:val="24"/>
                                <w:szCs w:val="24"/>
                              </w:rPr>
                              <w:t xml:space="preserve">Figure </w:t>
                            </w:r>
                            <w:r w:rsidRPr="0022486B">
                              <w:rPr>
                                <w:i w:val="0"/>
                                <w:iCs w:val="0"/>
                                <w:color w:val="000000" w:themeColor="text1"/>
                                <w:sz w:val="24"/>
                                <w:szCs w:val="24"/>
                              </w:rPr>
                              <w:fldChar w:fldCharType="begin"/>
                            </w:r>
                            <w:r w:rsidRPr="0022486B">
                              <w:rPr>
                                <w:i w:val="0"/>
                                <w:iCs w:val="0"/>
                                <w:color w:val="000000" w:themeColor="text1"/>
                                <w:sz w:val="24"/>
                                <w:szCs w:val="24"/>
                              </w:rPr>
                              <w:instrText xml:space="preserve"> SEQ Figure \* ARABIC </w:instrText>
                            </w:r>
                            <w:r w:rsidRPr="0022486B">
                              <w:rPr>
                                <w:i w:val="0"/>
                                <w:iCs w:val="0"/>
                                <w:color w:val="000000" w:themeColor="text1"/>
                                <w:sz w:val="24"/>
                                <w:szCs w:val="24"/>
                              </w:rPr>
                              <w:fldChar w:fldCharType="separate"/>
                            </w:r>
                            <w:r w:rsidR="00970927">
                              <w:rPr>
                                <w:i w:val="0"/>
                                <w:iCs w:val="0"/>
                                <w:noProof/>
                                <w:color w:val="000000" w:themeColor="text1"/>
                                <w:sz w:val="24"/>
                                <w:szCs w:val="24"/>
                              </w:rPr>
                              <w:t>2</w:t>
                            </w:r>
                            <w:r w:rsidRPr="0022486B">
                              <w:rPr>
                                <w:i w:val="0"/>
                                <w:iCs w:val="0"/>
                                <w:color w:val="000000" w:themeColor="text1"/>
                                <w:sz w:val="24"/>
                                <w:szCs w:val="24"/>
                              </w:rPr>
                              <w:fldChar w:fldCharType="end"/>
                            </w:r>
                            <w:r w:rsidRPr="0022486B">
                              <w:rPr>
                                <w:i w:val="0"/>
                                <w:iCs w:val="0"/>
                                <w:color w:val="000000" w:themeColor="text1"/>
                                <w:sz w:val="24"/>
                                <w:szCs w:val="24"/>
                              </w:rPr>
                              <w:t>: Patient Report View in Congenica Rare Disease Platform.</w:t>
                            </w:r>
                          </w:p>
                          <w:p w14:paraId="58FA95E1" w14:textId="699B143A" w:rsidR="0022486B" w:rsidRPr="0022486B" w:rsidRDefault="0022486B" w:rsidP="0022486B">
                            <w:pPr>
                              <w:pStyle w:val="Caption"/>
                              <w:jc w:val="both"/>
                              <w:rPr>
                                <w:i w:val="0"/>
                                <w:iCs w:val="0"/>
                                <w:color w:val="000000" w:themeColor="text1"/>
                                <w:sz w:val="24"/>
                                <w:szCs w:val="24"/>
                              </w:rPr>
                            </w:pPr>
                            <w:r w:rsidRPr="0022486B">
                              <w:rPr>
                                <w:i w:val="0"/>
                                <w:iCs w:val="0"/>
                                <w:color w:val="000000" w:themeColor="text1"/>
                                <w:sz w:val="24"/>
                                <w:szCs w:val="24"/>
                              </w:rPr>
                              <w:t>This figure displays the patient-specific report interface generated by the Congenica platform. It summari</w:t>
                            </w:r>
                            <w:r>
                              <w:rPr>
                                <w:i w:val="0"/>
                                <w:iCs w:val="0"/>
                                <w:color w:val="000000" w:themeColor="text1"/>
                                <w:sz w:val="24"/>
                                <w:szCs w:val="24"/>
                              </w:rPr>
                              <w:t>s</w:t>
                            </w:r>
                            <w:r w:rsidRPr="0022486B">
                              <w:rPr>
                                <w:i w:val="0"/>
                                <w:iCs w:val="0"/>
                                <w:color w:val="000000" w:themeColor="text1"/>
                                <w:sz w:val="24"/>
                                <w:szCs w:val="24"/>
                              </w:rPr>
                              <w:t>es critical clinical and genomic metadata, including lab ID, reported and genomic sex, phenotype summary, gene panels applied, CNV analysis status and sequencing protocol. This structured report enables clinical scientists to interpret findings within the full clinical context, supporting accurate and timely diagnosis</w:t>
                            </w:r>
                            <w:r>
                              <w:rPr>
                                <w:i w:val="0"/>
                                <w:iCs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56E93" id="_x0000_s1027" type="#_x0000_t202" style="position:absolute;left:0;text-align:left;margin-left:0;margin-top:177.9pt;width:579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qwGAIAAD8EAAAOAAAAZHJzL2Uyb0RvYy54bWysU8Fu2zAMvQ/YPwi6L04at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nl/P51MKSYrdzK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" stroked="f">
                <v:textbox style="mso-fit-shape-to-text:t" inset="0,0,0,0">
                  <w:txbxContent>
                    <w:p w14:paraId="5AD16360" w14:textId="044B0981" w:rsidR="0022486B" w:rsidRDefault="0022486B" w:rsidP="0022486B">
                      <w:pPr>
                        <w:pStyle w:val="Caption"/>
                        <w:rPr>
                          <w:i w:val="0"/>
                          <w:iCs w:val="0"/>
                          <w:color w:val="000000" w:themeColor="text1"/>
                          <w:sz w:val="24"/>
                          <w:szCs w:val="24"/>
                        </w:rPr>
                      </w:pPr>
                      <w:r w:rsidRPr="0022486B">
                        <w:rPr>
                          <w:i w:val="0"/>
                          <w:iCs w:val="0"/>
                          <w:color w:val="000000" w:themeColor="text1"/>
                          <w:sz w:val="24"/>
                          <w:szCs w:val="24"/>
                        </w:rPr>
                        <w:t xml:space="preserve">Figure </w:t>
                      </w:r>
                      <w:r w:rsidRPr="0022486B">
                        <w:rPr>
                          <w:i w:val="0"/>
                          <w:iCs w:val="0"/>
                          <w:color w:val="000000" w:themeColor="text1"/>
                          <w:sz w:val="24"/>
                          <w:szCs w:val="24"/>
                        </w:rPr>
                        <w:fldChar w:fldCharType="begin"/>
                      </w:r>
                      <w:r w:rsidRPr="0022486B">
                        <w:rPr>
                          <w:i w:val="0"/>
                          <w:iCs w:val="0"/>
                          <w:color w:val="000000" w:themeColor="text1"/>
                          <w:sz w:val="24"/>
                          <w:szCs w:val="24"/>
                        </w:rPr>
                        <w:instrText xml:space="preserve"> SEQ Figure \* ARABIC </w:instrText>
                      </w:r>
                      <w:r w:rsidRPr="0022486B">
                        <w:rPr>
                          <w:i w:val="0"/>
                          <w:iCs w:val="0"/>
                          <w:color w:val="000000" w:themeColor="text1"/>
                          <w:sz w:val="24"/>
                          <w:szCs w:val="24"/>
                        </w:rPr>
                        <w:fldChar w:fldCharType="separate"/>
                      </w:r>
                      <w:r w:rsidR="00970927">
                        <w:rPr>
                          <w:i w:val="0"/>
                          <w:iCs w:val="0"/>
                          <w:noProof/>
                          <w:color w:val="000000" w:themeColor="text1"/>
                          <w:sz w:val="24"/>
                          <w:szCs w:val="24"/>
                        </w:rPr>
                        <w:t>2</w:t>
                      </w:r>
                      <w:r w:rsidRPr="0022486B">
                        <w:rPr>
                          <w:i w:val="0"/>
                          <w:iCs w:val="0"/>
                          <w:color w:val="000000" w:themeColor="text1"/>
                          <w:sz w:val="24"/>
                          <w:szCs w:val="24"/>
                        </w:rPr>
                        <w:fldChar w:fldCharType="end"/>
                      </w:r>
                      <w:r w:rsidRPr="0022486B">
                        <w:rPr>
                          <w:i w:val="0"/>
                          <w:iCs w:val="0"/>
                          <w:color w:val="000000" w:themeColor="text1"/>
                          <w:sz w:val="24"/>
                          <w:szCs w:val="24"/>
                        </w:rPr>
                        <w:t>: Patient Report View in Congenica Rare Disease Platform.</w:t>
                      </w:r>
                    </w:p>
                    <w:p w14:paraId="58FA95E1" w14:textId="699B143A" w:rsidR="0022486B" w:rsidRPr="0022486B" w:rsidRDefault="0022486B" w:rsidP="0022486B">
                      <w:pPr>
                        <w:pStyle w:val="Caption"/>
                        <w:jc w:val="both"/>
                        <w:rPr>
                          <w:i w:val="0"/>
                          <w:iCs w:val="0"/>
                          <w:color w:val="000000" w:themeColor="text1"/>
                          <w:sz w:val="24"/>
                          <w:szCs w:val="24"/>
                        </w:rPr>
                      </w:pPr>
                      <w:r w:rsidRPr="0022486B">
                        <w:rPr>
                          <w:i w:val="0"/>
                          <w:iCs w:val="0"/>
                          <w:color w:val="000000" w:themeColor="text1"/>
                          <w:sz w:val="24"/>
                          <w:szCs w:val="24"/>
                        </w:rPr>
                        <w:t>This figure displays the patient-specific report interface generated by the Congenica platform. It summari</w:t>
                      </w:r>
                      <w:r>
                        <w:rPr>
                          <w:i w:val="0"/>
                          <w:iCs w:val="0"/>
                          <w:color w:val="000000" w:themeColor="text1"/>
                          <w:sz w:val="24"/>
                          <w:szCs w:val="24"/>
                        </w:rPr>
                        <w:t>s</w:t>
                      </w:r>
                      <w:r w:rsidRPr="0022486B">
                        <w:rPr>
                          <w:i w:val="0"/>
                          <w:iCs w:val="0"/>
                          <w:color w:val="000000" w:themeColor="text1"/>
                          <w:sz w:val="24"/>
                          <w:szCs w:val="24"/>
                        </w:rPr>
                        <w:t>es critical clinical and genomic metadata, including lab ID, reported and genomic sex, phenotype summary, gene panels applied, CNV analysis status and sequencing protocol. This structured report enables clinical scientists to interpret findings within the full clinical context, supporting accurate and timely diagnosis</w:t>
                      </w:r>
                      <w:r>
                        <w:rPr>
                          <w:i w:val="0"/>
                          <w:iCs w:val="0"/>
                          <w:color w:val="000000" w:themeColor="text1"/>
                          <w:sz w:val="24"/>
                          <w:szCs w:val="24"/>
                        </w:rPr>
                        <w:t>.</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75B21569" wp14:editId="77844E07">
            <wp:simplePos x="0" y="0"/>
            <wp:positionH relativeFrom="page">
              <wp:align>right</wp:align>
            </wp:positionH>
            <wp:positionV relativeFrom="paragraph">
              <wp:posOffset>413</wp:posOffset>
            </wp:positionV>
            <wp:extent cx="7562144" cy="2047240"/>
            <wp:effectExtent l="0" t="0" r="1270" b="0"/>
            <wp:wrapSquare wrapText="bothSides"/>
            <wp:docPr id="2092349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49046" name="Picture 1"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t="9376"/>
                    <a:stretch/>
                  </pic:blipFill>
                  <pic:spPr bwMode="auto">
                    <a:xfrm>
                      <a:off x="0" y="0"/>
                      <a:ext cx="7562144" cy="2047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307FD9" w14:textId="46F8E15A" w:rsidR="0014454B" w:rsidRDefault="0014454B" w:rsidP="00A51E20">
      <w:pPr>
        <w:jc w:val="both"/>
        <w:rPr>
          <w:sz w:val="24"/>
          <w:szCs w:val="24"/>
        </w:rPr>
      </w:pPr>
    </w:p>
    <w:p w14:paraId="59B3DA55" w14:textId="2262B5C6" w:rsidR="00603A74" w:rsidRDefault="00603A74" w:rsidP="0014454B">
      <w:pPr>
        <w:jc w:val="both"/>
        <w:rPr>
          <w:b/>
          <w:bCs/>
          <w:sz w:val="24"/>
          <w:szCs w:val="24"/>
        </w:rPr>
      </w:pPr>
    </w:p>
    <w:p w14:paraId="253DDEBD" w14:textId="70EF9AF3" w:rsidR="0014454B" w:rsidRPr="00603A74" w:rsidRDefault="0014454B" w:rsidP="0014454B">
      <w:pPr>
        <w:jc w:val="both"/>
        <w:rPr>
          <w:b/>
          <w:bCs/>
          <w:sz w:val="24"/>
          <w:szCs w:val="24"/>
        </w:rPr>
      </w:pPr>
      <w:r w:rsidRPr="0014454B">
        <w:rPr>
          <w:b/>
          <w:bCs/>
          <w:sz w:val="24"/>
          <w:szCs w:val="24"/>
        </w:rPr>
        <w:t>Applicability</w:t>
      </w:r>
      <w:r w:rsidRPr="00603A74">
        <w:rPr>
          <w:b/>
          <w:bCs/>
          <w:sz w:val="24"/>
          <w:szCs w:val="24"/>
        </w:rPr>
        <w:t xml:space="preserve"> to </w:t>
      </w:r>
      <w:r w:rsidR="00603A74" w:rsidRPr="00603A74">
        <w:rPr>
          <w:b/>
          <w:bCs/>
          <w:sz w:val="24"/>
          <w:szCs w:val="24"/>
        </w:rPr>
        <w:t>Childhood Solid Tumour Panel</w:t>
      </w:r>
      <w:r w:rsidRPr="00603A74">
        <w:rPr>
          <w:b/>
          <w:bCs/>
          <w:sz w:val="24"/>
          <w:szCs w:val="24"/>
        </w:rPr>
        <w:t xml:space="preserve"> workflow</w:t>
      </w:r>
      <w:r w:rsidRPr="0014454B">
        <w:rPr>
          <w:b/>
          <w:bCs/>
          <w:sz w:val="24"/>
          <w:szCs w:val="24"/>
        </w:rPr>
        <w:t>:</w:t>
      </w:r>
    </w:p>
    <w:p w14:paraId="5A1593A4" w14:textId="4D6AF0A5" w:rsidR="00ED590E" w:rsidRDefault="00603A74" w:rsidP="00603A74">
      <w:pPr>
        <w:jc w:val="both"/>
        <w:rPr>
          <w:sz w:val="24"/>
          <w:szCs w:val="24"/>
        </w:rPr>
      </w:pPr>
      <w:r w:rsidRPr="00ED590E">
        <w:rPr>
          <w:sz w:val="24"/>
          <w:szCs w:val="24"/>
        </w:rPr>
        <w:t xml:space="preserve">This workflow involves identifying and interpreting genetic variants in </w:t>
      </w:r>
      <w:proofErr w:type="spellStart"/>
      <w:r w:rsidRPr="00ED590E">
        <w:rPr>
          <w:sz w:val="24"/>
          <w:szCs w:val="24"/>
        </w:rPr>
        <w:t>pediatric</w:t>
      </w:r>
      <w:proofErr w:type="spellEnd"/>
      <w:r w:rsidRPr="00ED590E">
        <w:rPr>
          <w:sz w:val="24"/>
          <w:szCs w:val="24"/>
        </w:rPr>
        <w:t xml:space="preserve"> patients with suspected solid </w:t>
      </w:r>
      <w:proofErr w:type="spellStart"/>
      <w:r w:rsidRPr="00ED590E">
        <w:rPr>
          <w:sz w:val="24"/>
          <w:szCs w:val="24"/>
        </w:rPr>
        <w:t>tumors</w:t>
      </w:r>
      <w:proofErr w:type="spellEnd"/>
      <w:r w:rsidRPr="00ED590E">
        <w:rPr>
          <w:sz w:val="24"/>
          <w:szCs w:val="24"/>
        </w:rPr>
        <w:t xml:space="preserve">, using panels like CSTP (Childhood Solid </w:t>
      </w:r>
      <w:proofErr w:type="spellStart"/>
      <w:r w:rsidRPr="00ED590E">
        <w:rPr>
          <w:sz w:val="24"/>
          <w:szCs w:val="24"/>
        </w:rPr>
        <w:t>Tumor</w:t>
      </w:r>
      <w:proofErr w:type="spellEnd"/>
      <w:r w:rsidRPr="00ED590E">
        <w:rPr>
          <w:sz w:val="24"/>
          <w:szCs w:val="24"/>
        </w:rPr>
        <w:t xml:space="preserve"> Panel). Variants are identified through Sanger, NGS or MLPA and processed through Congenica.</w:t>
      </w:r>
      <w:r w:rsidR="00ED590E" w:rsidRPr="00ED590E">
        <w:rPr>
          <w:sz w:val="24"/>
          <w:szCs w:val="24"/>
        </w:rPr>
        <w:t xml:space="preserve"> </w:t>
      </w:r>
    </w:p>
    <w:p w14:paraId="72F94796" w14:textId="5B244A6D" w:rsidR="008403A7" w:rsidRDefault="008403A7" w:rsidP="00603A74">
      <w:pPr>
        <w:jc w:val="both"/>
        <w:rPr>
          <w:sz w:val="24"/>
          <w:szCs w:val="24"/>
        </w:rPr>
      </w:pPr>
      <w:r w:rsidRPr="00ED590E">
        <w:rPr>
          <w:sz w:val="24"/>
          <w:szCs w:val="24"/>
        </w:rPr>
        <w:t>Congenica plays an important role in the workflow by allowing variant evidence for CSTP-only genes to be recorded directly within the system. This means there’s no need to create or manage separate external forms. For genes that are also relevant to other clinical areas, like BRCA, APC, or CDH1, Congenica makes it easy to link in variant forms created outside the platform, so everything stays connected. It also supports tailored reporting templates for different diseases, which helps ensure reports are consistent, accurate, and clinically useful.</w:t>
      </w:r>
    </w:p>
    <w:p w14:paraId="7B01E611" w14:textId="77777777" w:rsidR="0017017A" w:rsidRDefault="0017017A" w:rsidP="00603A74">
      <w:pPr>
        <w:jc w:val="both"/>
        <w:rPr>
          <w:sz w:val="24"/>
          <w:szCs w:val="24"/>
        </w:rPr>
      </w:pPr>
    </w:p>
    <w:p w14:paraId="51062D51" w14:textId="7DA09EB2" w:rsidR="0017017A" w:rsidRPr="0017017A" w:rsidRDefault="0017017A" w:rsidP="00603A74">
      <w:pPr>
        <w:jc w:val="both"/>
        <w:rPr>
          <w:b/>
          <w:bCs/>
          <w:sz w:val="24"/>
          <w:szCs w:val="24"/>
        </w:rPr>
      </w:pPr>
      <w:r w:rsidRPr="0017017A">
        <w:rPr>
          <w:b/>
          <w:bCs/>
          <w:sz w:val="24"/>
          <w:szCs w:val="24"/>
        </w:rPr>
        <w:t>Reflection</w:t>
      </w:r>
      <w:r>
        <w:rPr>
          <w:b/>
          <w:bCs/>
          <w:sz w:val="24"/>
          <w:szCs w:val="24"/>
        </w:rPr>
        <w:t xml:space="preserve"> - Congenica</w:t>
      </w:r>
    </w:p>
    <w:p w14:paraId="6E39AE4C" w14:textId="5BE8784B" w:rsidR="0017017A" w:rsidRPr="0017017A" w:rsidRDefault="0017017A" w:rsidP="0017017A">
      <w:pPr>
        <w:jc w:val="both"/>
        <w:rPr>
          <w:sz w:val="24"/>
          <w:szCs w:val="24"/>
        </w:rPr>
      </w:pPr>
      <w:r w:rsidRPr="0017017A">
        <w:rPr>
          <w:sz w:val="24"/>
          <w:szCs w:val="24"/>
        </w:rPr>
        <w:t>After reviewing Congenica, I appreciated how purpose-built it is for rare disease diagnostics. Its deep integration of phenotype-driven analysis and the ability to directly capture variant evidence made it clear how much time and effort it can save in a clinical workflow. Seeing how it supports disease-specific templates and allows streamlined report generation showed me just how powerful structured genomic interpretation tools can be when embedded into the diagnostic process. However, I also noticed that the user interface, while informative, might require a learning curve</w:t>
      </w:r>
      <w:r>
        <w:rPr>
          <w:sz w:val="24"/>
          <w:szCs w:val="24"/>
        </w:rPr>
        <w:t xml:space="preserve">, </w:t>
      </w:r>
      <w:r w:rsidRPr="0017017A">
        <w:rPr>
          <w:sz w:val="24"/>
          <w:szCs w:val="24"/>
        </w:rPr>
        <w:t>particularly in understanding how to navigate patient metadata and link external variant forms.</w:t>
      </w:r>
    </w:p>
    <w:p w14:paraId="502ABCE3" w14:textId="104EC5D7" w:rsidR="008A3E2D" w:rsidRPr="0017017A" w:rsidRDefault="008A3E2D" w:rsidP="00DD1B35">
      <w:pPr>
        <w:jc w:val="both"/>
        <w:rPr>
          <w:b/>
          <w:bCs/>
          <w:sz w:val="32"/>
          <w:szCs w:val="32"/>
        </w:rPr>
      </w:pPr>
      <w:r w:rsidRPr="0017017A">
        <w:rPr>
          <w:b/>
          <w:bCs/>
          <w:sz w:val="32"/>
          <w:szCs w:val="32"/>
        </w:rPr>
        <w:lastRenderedPageBreak/>
        <w:t>Alissa Interpret</w:t>
      </w:r>
    </w:p>
    <w:p w14:paraId="51EDD637" w14:textId="4D2DFD64" w:rsidR="00DD1B35" w:rsidRDefault="00DD1B35" w:rsidP="00DD1B35">
      <w:pPr>
        <w:jc w:val="both"/>
        <w:rPr>
          <w:sz w:val="24"/>
          <w:szCs w:val="24"/>
        </w:rPr>
      </w:pPr>
      <w:r w:rsidRPr="00DD1B35">
        <w:rPr>
          <w:sz w:val="24"/>
          <w:szCs w:val="24"/>
        </w:rPr>
        <w:t>Alissa Interpret i</w:t>
      </w:r>
      <w:r>
        <w:rPr>
          <w:sz w:val="24"/>
          <w:szCs w:val="24"/>
        </w:rPr>
        <w:t>s a</w:t>
      </w:r>
      <w:r w:rsidRPr="00DD1B35">
        <w:rPr>
          <w:sz w:val="24"/>
          <w:szCs w:val="24"/>
        </w:rPr>
        <w:t xml:space="preserve"> platform developed for the interpretation and reporting of genomic variants derived from </w:t>
      </w:r>
      <w:r>
        <w:rPr>
          <w:sz w:val="24"/>
          <w:szCs w:val="24"/>
        </w:rPr>
        <w:t xml:space="preserve">NGS </w:t>
      </w:r>
      <w:r w:rsidRPr="00DD1B35">
        <w:rPr>
          <w:sz w:val="24"/>
          <w:szCs w:val="24"/>
        </w:rPr>
        <w:t xml:space="preserve">data. It is designed to </w:t>
      </w:r>
      <w:r>
        <w:rPr>
          <w:sz w:val="24"/>
          <w:szCs w:val="24"/>
        </w:rPr>
        <w:t xml:space="preserve">aid in the </w:t>
      </w:r>
      <w:r w:rsidRPr="00DD1B35">
        <w:rPr>
          <w:sz w:val="24"/>
          <w:szCs w:val="24"/>
        </w:rPr>
        <w:t xml:space="preserve">analysis phase of genomic workflows, facilitating efficient variant </w:t>
      </w:r>
      <w:r>
        <w:rPr>
          <w:sz w:val="24"/>
          <w:szCs w:val="24"/>
        </w:rPr>
        <w:t>analysis.</w:t>
      </w:r>
    </w:p>
    <w:p w14:paraId="0A626C5A" w14:textId="77777777" w:rsidR="00857F76" w:rsidRPr="00857F76" w:rsidRDefault="00857F76" w:rsidP="00857F76">
      <w:pPr>
        <w:jc w:val="both"/>
        <w:rPr>
          <w:i/>
          <w:iCs/>
          <w:sz w:val="24"/>
          <w:szCs w:val="24"/>
        </w:rPr>
      </w:pPr>
      <w:r w:rsidRPr="00857F76">
        <w:rPr>
          <w:i/>
          <w:iCs/>
          <w:sz w:val="24"/>
          <w:szCs w:val="24"/>
        </w:rPr>
        <w:t>Key Features:</w:t>
      </w:r>
    </w:p>
    <w:p w14:paraId="7CE3789B" w14:textId="63663DDA" w:rsidR="00857F76" w:rsidRPr="00857F76" w:rsidRDefault="00857F76" w:rsidP="00857F76">
      <w:pPr>
        <w:numPr>
          <w:ilvl w:val="0"/>
          <w:numId w:val="10"/>
        </w:numPr>
        <w:jc w:val="both"/>
        <w:rPr>
          <w:sz w:val="24"/>
          <w:szCs w:val="24"/>
        </w:rPr>
      </w:pPr>
      <w:r w:rsidRPr="00857F76">
        <w:rPr>
          <w:sz w:val="24"/>
          <w:szCs w:val="24"/>
        </w:rPr>
        <w:t>Variant Analysis: Supports the interpretation of various genomic alterations, including single nucleotide variants (SNVs), insertions/deletions (indels), copy number variations (CNVs), loss of heterozygosity (LOH) and gene fusions.</w:t>
      </w:r>
    </w:p>
    <w:p w14:paraId="279D1222" w14:textId="51C6F787" w:rsidR="00006AA9" w:rsidRPr="00857F76" w:rsidRDefault="00857F76" w:rsidP="00006AA9">
      <w:pPr>
        <w:numPr>
          <w:ilvl w:val="0"/>
          <w:numId w:val="10"/>
        </w:numPr>
        <w:jc w:val="both"/>
        <w:rPr>
          <w:sz w:val="24"/>
          <w:szCs w:val="24"/>
        </w:rPr>
      </w:pPr>
      <w:r w:rsidRPr="00857F76">
        <w:rPr>
          <w:sz w:val="24"/>
          <w:szCs w:val="24"/>
        </w:rPr>
        <w:t>Automated: Provides version-controlled pipelines that automate variant filtration, annotation, classification</w:t>
      </w:r>
      <w:r w:rsidR="00006AA9" w:rsidRPr="00006AA9">
        <w:rPr>
          <w:sz w:val="24"/>
          <w:szCs w:val="24"/>
        </w:rPr>
        <w:t xml:space="preserve"> </w:t>
      </w:r>
      <w:r w:rsidRPr="00857F76">
        <w:rPr>
          <w:sz w:val="24"/>
          <w:szCs w:val="24"/>
        </w:rPr>
        <w:t>and report generation</w:t>
      </w:r>
      <w:r w:rsidR="00006AA9" w:rsidRPr="00006AA9">
        <w:rPr>
          <w:sz w:val="24"/>
          <w:szCs w:val="24"/>
        </w:rPr>
        <w:t>.</w:t>
      </w:r>
    </w:p>
    <w:p w14:paraId="5DBDA145" w14:textId="77FCF46C" w:rsidR="00857F76" w:rsidRPr="00857F76" w:rsidRDefault="00857F76" w:rsidP="00857F76">
      <w:pPr>
        <w:numPr>
          <w:ilvl w:val="0"/>
          <w:numId w:val="10"/>
        </w:numPr>
        <w:jc w:val="both"/>
        <w:rPr>
          <w:sz w:val="24"/>
          <w:szCs w:val="24"/>
        </w:rPr>
      </w:pPr>
      <w:r w:rsidRPr="00857F76">
        <w:rPr>
          <w:sz w:val="24"/>
          <w:szCs w:val="24"/>
        </w:rPr>
        <w:t>Phenotype Prioriti</w:t>
      </w:r>
      <w:r w:rsidRPr="00006AA9">
        <w:rPr>
          <w:sz w:val="24"/>
          <w:szCs w:val="24"/>
        </w:rPr>
        <w:t>s</w:t>
      </w:r>
      <w:r w:rsidRPr="00857F76">
        <w:rPr>
          <w:sz w:val="24"/>
          <w:szCs w:val="24"/>
        </w:rPr>
        <w:t>ation: Integrates patient phenotypic information to prioriti</w:t>
      </w:r>
      <w:r w:rsidRPr="00006AA9">
        <w:rPr>
          <w:sz w:val="24"/>
          <w:szCs w:val="24"/>
        </w:rPr>
        <w:t>s</w:t>
      </w:r>
      <w:r w:rsidRPr="00857F76">
        <w:rPr>
          <w:sz w:val="24"/>
          <w:szCs w:val="24"/>
        </w:rPr>
        <w:t>e variants based on relevance</w:t>
      </w:r>
      <w:r w:rsidR="00006AA9" w:rsidRPr="00006AA9">
        <w:rPr>
          <w:sz w:val="24"/>
          <w:szCs w:val="24"/>
        </w:rPr>
        <w:t>.</w:t>
      </w:r>
    </w:p>
    <w:p w14:paraId="4EE0BA1E" w14:textId="5CF0400F" w:rsidR="00857F76" w:rsidRPr="00857F76" w:rsidRDefault="00006AA9" w:rsidP="00857F76">
      <w:pPr>
        <w:numPr>
          <w:ilvl w:val="0"/>
          <w:numId w:val="10"/>
        </w:numPr>
        <w:jc w:val="both"/>
        <w:rPr>
          <w:sz w:val="24"/>
          <w:szCs w:val="24"/>
        </w:rPr>
      </w:pPr>
      <w:r w:rsidRPr="00006AA9">
        <w:rPr>
          <w:sz w:val="24"/>
          <w:szCs w:val="24"/>
        </w:rPr>
        <w:t>Databases</w:t>
      </w:r>
      <w:r w:rsidR="00857F76" w:rsidRPr="00857F76">
        <w:rPr>
          <w:sz w:val="24"/>
          <w:szCs w:val="24"/>
        </w:rPr>
        <w:t>: Access to both internal and external variant databases</w:t>
      </w:r>
      <w:r w:rsidRPr="00006AA9">
        <w:rPr>
          <w:sz w:val="24"/>
          <w:szCs w:val="24"/>
        </w:rPr>
        <w:t xml:space="preserve"> </w:t>
      </w:r>
      <w:r w:rsidR="00857F76" w:rsidRPr="00857F76">
        <w:rPr>
          <w:sz w:val="24"/>
          <w:szCs w:val="24"/>
        </w:rPr>
        <w:t>to inform variant interpretation</w:t>
      </w:r>
      <w:r w:rsidRPr="00006AA9">
        <w:rPr>
          <w:sz w:val="24"/>
          <w:szCs w:val="24"/>
        </w:rPr>
        <w:t>.</w:t>
      </w:r>
    </w:p>
    <w:p w14:paraId="1E50F9E0" w14:textId="6CE76720" w:rsidR="00857F76" w:rsidRPr="00857F76" w:rsidRDefault="00006AA9" w:rsidP="00857F76">
      <w:pPr>
        <w:numPr>
          <w:ilvl w:val="0"/>
          <w:numId w:val="10"/>
        </w:numPr>
        <w:jc w:val="both"/>
        <w:rPr>
          <w:sz w:val="24"/>
          <w:szCs w:val="24"/>
        </w:rPr>
      </w:pPr>
      <w:r w:rsidRPr="00006AA9">
        <w:rPr>
          <w:sz w:val="24"/>
          <w:szCs w:val="24"/>
        </w:rPr>
        <w:t>Generates Reports</w:t>
      </w:r>
      <w:r w:rsidR="00857F76" w:rsidRPr="00857F76">
        <w:rPr>
          <w:sz w:val="24"/>
          <w:szCs w:val="24"/>
        </w:rPr>
        <w:t>: Generates reports that can be tailored to specific laboratory requirements, ensuring clarity and compliance with standards</w:t>
      </w:r>
      <w:r w:rsidR="00857F76" w:rsidRPr="00006AA9">
        <w:rPr>
          <w:sz w:val="24"/>
          <w:szCs w:val="24"/>
        </w:rPr>
        <w:t>.</w:t>
      </w:r>
    </w:p>
    <w:p w14:paraId="22A08B4C" w14:textId="2C6E5E28" w:rsidR="00335A2D" w:rsidRPr="00335A2D" w:rsidRDefault="00A366CA" w:rsidP="007C1625">
      <w:pPr>
        <w:jc w:val="both"/>
        <w:rPr>
          <w:sz w:val="24"/>
          <w:szCs w:val="24"/>
        </w:rPr>
      </w:pPr>
      <w:r>
        <w:rPr>
          <w:noProof/>
        </w:rPr>
        <mc:AlternateContent>
          <mc:Choice Requires="wps">
            <w:drawing>
              <wp:anchor distT="0" distB="0" distL="114300" distR="114300" simplePos="0" relativeHeight="251670528" behindDoc="0" locked="0" layoutInCell="1" allowOverlap="1" wp14:anchorId="211EE798" wp14:editId="53FDC365">
                <wp:simplePos x="0" y="0"/>
                <wp:positionH relativeFrom="column">
                  <wp:posOffset>4097547</wp:posOffset>
                </wp:positionH>
                <wp:positionV relativeFrom="paragraph">
                  <wp:posOffset>1040777</wp:posOffset>
                </wp:positionV>
                <wp:extent cx="1604513" cy="2682815"/>
                <wp:effectExtent l="0" t="0" r="15240" b="22860"/>
                <wp:wrapNone/>
                <wp:docPr id="81540690" name="Rectangle 5"/>
                <wp:cNvGraphicFramePr/>
                <a:graphic xmlns:a="http://schemas.openxmlformats.org/drawingml/2006/main">
                  <a:graphicData uri="http://schemas.microsoft.com/office/word/2010/wordprocessingShape">
                    <wps:wsp>
                      <wps:cNvSpPr/>
                      <wps:spPr>
                        <a:xfrm>
                          <a:off x="0" y="0"/>
                          <a:ext cx="1604513" cy="268281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3BC48" id="Rectangle 5" o:spid="_x0000_s1026" style="position:absolute;margin-left:322.65pt;margin-top:81.95pt;width:126.35pt;height:2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" fillcolor="black [3200]" strokecolor="black [480]" strokeweight="1pt"/>
            </w:pict>
          </mc:Fallback>
        </mc:AlternateContent>
      </w:r>
      <w:r w:rsidR="00335A2D">
        <w:rPr>
          <w:noProof/>
        </w:rPr>
        <mc:AlternateContent>
          <mc:Choice Requires="wps">
            <w:drawing>
              <wp:anchor distT="0" distB="0" distL="114300" distR="114300" simplePos="0" relativeHeight="251668480" behindDoc="1" locked="0" layoutInCell="1" allowOverlap="1" wp14:anchorId="280ECE88" wp14:editId="4CBCCCA6">
                <wp:simplePos x="0" y="0"/>
                <wp:positionH relativeFrom="column">
                  <wp:posOffset>-602064</wp:posOffset>
                </wp:positionH>
                <wp:positionV relativeFrom="page">
                  <wp:posOffset>9358031</wp:posOffset>
                </wp:positionV>
                <wp:extent cx="6981190" cy="1184275"/>
                <wp:effectExtent l="0" t="0" r="0" b="0"/>
                <wp:wrapTight wrapText="bothSides">
                  <wp:wrapPolygon edited="0">
                    <wp:start x="0" y="0"/>
                    <wp:lineTo x="0" y="21195"/>
                    <wp:lineTo x="21514" y="21195"/>
                    <wp:lineTo x="21514" y="0"/>
                    <wp:lineTo x="0" y="0"/>
                  </wp:wrapPolygon>
                </wp:wrapTight>
                <wp:docPr id="659874430" name="Text Box 1"/>
                <wp:cNvGraphicFramePr/>
                <a:graphic xmlns:a="http://schemas.openxmlformats.org/drawingml/2006/main">
                  <a:graphicData uri="http://schemas.microsoft.com/office/word/2010/wordprocessingShape">
                    <wps:wsp>
                      <wps:cNvSpPr txBox="1"/>
                      <wps:spPr>
                        <a:xfrm>
                          <a:off x="0" y="0"/>
                          <a:ext cx="6981190" cy="1184275"/>
                        </a:xfrm>
                        <a:prstGeom prst="rect">
                          <a:avLst/>
                        </a:prstGeom>
                        <a:solidFill>
                          <a:prstClr val="white"/>
                        </a:solidFill>
                        <a:ln>
                          <a:noFill/>
                        </a:ln>
                      </wps:spPr>
                      <wps:txbx>
                        <w:txbxContent>
                          <w:p w14:paraId="359F2156" w14:textId="77777777" w:rsidR="00970927" w:rsidRPr="001A63DE" w:rsidRDefault="00970927" w:rsidP="00970927">
                            <w:pPr>
                              <w:pStyle w:val="Caption"/>
                              <w:rPr>
                                <w:i w:val="0"/>
                                <w:iCs w:val="0"/>
                                <w:color w:val="000000" w:themeColor="text1"/>
                                <w:sz w:val="24"/>
                                <w:szCs w:val="24"/>
                              </w:rPr>
                            </w:pPr>
                            <w:r w:rsidRPr="001A63DE">
                              <w:rPr>
                                <w:i w:val="0"/>
                                <w:iCs w:val="0"/>
                                <w:color w:val="000000" w:themeColor="text1"/>
                                <w:sz w:val="24"/>
                                <w:szCs w:val="24"/>
                              </w:rPr>
                              <w:t xml:space="preserve">Figure </w:t>
                            </w:r>
                            <w:r w:rsidRPr="001A63DE">
                              <w:rPr>
                                <w:i w:val="0"/>
                                <w:iCs w:val="0"/>
                                <w:color w:val="000000" w:themeColor="text1"/>
                                <w:sz w:val="24"/>
                                <w:szCs w:val="24"/>
                              </w:rPr>
                              <w:fldChar w:fldCharType="begin"/>
                            </w:r>
                            <w:r w:rsidRPr="001A63DE">
                              <w:rPr>
                                <w:i w:val="0"/>
                                <w:iCs w:val="0"/>
                                <w:color w:val="000000" w:themeColor="text1"/>
                                <w:sz w:val="24"/>
                                <w:szCs w:val="24"/>
                              </w:rPr>
                              <w:instrText xml:space="preserve"> SEQ Figure \* ARABIC </w:instrText>
                            </w:r>
                            <w:r w:rsidRPr="001A63DE">
                              <w:rPr>
                                <w:i w:val="0"/>
                                <w:iCs w:val="0"/>
                                <w:color w:val="000000" w:themeColor="text1"/>
                                <w:sz w:val="24"/>
                                <w:szCs w:val="24"/>
                              </w:rPr>
                              <w:fldChar w:fldCharType="separate"/>
                            </w:r>
                            <w:r w:rsidRPr="001A63DE">
                              <w:rPr>
                                <w:i w:val="0"/>
                                <w:iCs w:val="0"/>
                                <w:noProof/>
                                <w:color w:val="000000" w:themeColor="text1"/>
                                <w:sz w:val="24"/>
                                <w:szCs w:val="24"/>
                              </w:rPr>
                              <w:t>3</w:t>
                            </w:r>
                            <w:r w:rsidRPr="001A63DE">
                              <w:rPr>
                                <w:i w:val="0"/>
                                <w:iCs w:val="0"/>
                                <w:color w:val="000000" w:themeColor="text1"/>
                                <w:sz w:val="24"/>
                                <w:szCs w:val="24"/>
                              </w:rPr>
                              <w:fldChar w:fldCharType="end"/>
                            </w:r>
                            <w:r w:rsidRPr="001A63DE">
                              <w:rPr>
                                <w:i w:val="0"/>
                                <w:iCs w:val="0"/>
                                <w:color w:val="000000" w:themeColor="text1"/>
                                <w:sz w:val="24"/>
                                <w:szCs w:val="24"/>
                              </w:rPr>
                              <w:t>: Alissa Interpret Main Dashboard.</w:t>
                            </w:r>
                          </w:p>
                          <w:p w14:paraId="17A967EA" w14:textId="1967E372" w:rsidR="00970927" w:rsidRPr="001A63DE" w:rsidRDefault="00970927" w:rsidP="00970927">
                            <w:pPr>
                              <w:pStyle w:val="Caption"/>
                              <w:rPr>
                                <w:noProof/>
                                <w:sz w:val="24"/>
                                <w:szCs w:val="24"/>
                              </w:rPr>
                            </w:pPr>
                            <w:r w:rsidRPr="001A63DE">
                              <w:rPr>
                                <w:i w:val="0"/>
                                <w:iCs w:val="0"/>
                                <w:color w:val="000000" w:themeColor="text1"/>
                                <w:sz w:val="24"/>
                                <w:szCs w:val="24"/>
                              </w:rPr>
                              <w:br/>
                              <w:t>This image shows the file management interface within the Alissa Interpret platform. It provides a view of uploaded variant call format (VCF) files, including key metadata such as genome build (GRCh38), lab result status</w:t>
                            </w:r>
                            <w:r w:rsidR="001A63DE" w:rsidRPr="001A63DE">
                              <w:rPr>
                                <w:i w:val="0"/>
                                <w:iCs w:val="0"/>
                                <w:color w:val="000000" w:themeColor="text1"/>
                                <w:sz w:val="24"/>
                                <w:szCs w:val="24"/>
                              </w:rPr>
                              <w:t xml:space="preserve"> </w:t>
                            </w:r>
                            <w:r w:rsidRPr="001A63DE">
                              <w:rPr>
                                <w:i w:val="0"/>
                                <w:iCs w:val="0"/>
                                <w:color w:val="000000" w:themeColor="text1"/>
                                <w:sz w:val="24"/>
                                <w:szCs w:val="24"/>
                              </w:rPr>
                              <w:t xml:space="preserve">and total variant count. </w:t>
                            </w:r>
                            <w:r w:rsidR="001A63DE" w:rsidRPr="001A63DE">
                              <w:rPr>
                                <w:i w:val="0"/>
                                <w:iCs w:val="0"/>
                                <w:color w:val="000000" w:themeColor="text1"/>
                                <w:sz w:val="24"/>
                                <w:szCs w:val="24"/>
                              </w:rPr>
                              <w:t>Clinical Scientists</w:t>
                            </w:r>
                            <w:r w:rsidRPr="001A63DE">
                              <w:rPr>
                                <w:i w:val="0"/>
                                <w:iCs w:val="0"/>
                                <w:color w:val="000000" w:themeColor="text1"/>
                                <w:sz w:val="24"/>
                                <w:szCs w:val="24"/>
                              </w:rPr>
                              <w:t xml:space="preserve"> can filter, search and manage files efficiently</w:t>
                            </w:r>
                            <w:r w:rsidR="001A63DE" w:rsidRPr="001A63DE">
                              <w:rPr>
                                <w:i w:val="0"/>
                                <w:iCs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ECE88" id="_x0000_s1028" type="#_x0000_t202" style="position:absolute;left:0;text-align:left;margin-left:-47.4pt;margin-top:736.85pt;width:549.7pt;height:93.25pt;z-index:-251648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" stroked="f">
                <v:textbox style="mso-fit-shape-to-text:t" inset="0,0,0,0">
                  <w:txbxContent>
                    <w:p w14:paraId="359F2156" w14:textId="77777777" w:rsidR="00970927" w:rsidRPr="001A63DE" w:rsidRDefault="00970927" w:rsidP="00970927">
                      <w:pPr>
                        <w:pStyle w:val="Caption"/>
                        <w:rPr>
                          <w:i w:val="0"/>
                          <w:iCs w:val="0"/>
                          <w:color w:val="000000" w:themeColor="text1"/>
                          <w:sz w:val="24"/>
                          <w:szCs w:val="24"/>
                        </w:rPr>
                      </w:pPr>
                      <w:r w:rsidRPr="001A63DE">
                        <w:rPr>
                          <w:i w:val="0"/>
                          <w:iCs w:val="0"/>
                          <w:color w:val="000000" w:themeColor="text1"/>
                          <w:sz w:val="24"/>
                          <w:szCs w:val="24"/>
                        </w:rPr>
                        <w:t xml:space="preserve">Figure </w:t>
                      </w:r>
                      <w:r w:rsidRPr="001A63DE">
                        <w:rPr>
                          <w:i w:val="0"/>
                          <w:iCs w:val="0"/>
                          <w:color w:val="000000" w:themeColor="text1"/>
                          <w:sz w:val="24"/>
                          <w:szCs w:val="24"/>
                        </w:rPr>
                        <w:fldChar w:fldCharType="begin"/>
                      </w:r>
                      <w:r w:rsidRPr="001A63DE">
                        <w:rPr>
                          <w:i w:val="0"/>
                          <w:iCs w:val="0"/>
                          <w:color w:val="000000" w:themeColor="text1"/>
                          <w:sz w:val="24"/>
                          <w:szCs w:val="24"/>
                        </w:rPr>
                        <w:instrText xml:space="preserve"> SEQ Figure \* ARABIC </w:instrText>
                      </w:r>
                      <w:r w:rsidRPr="001A63DE">
                        <w:rPr>
                          <w:i w:val="0"/>
                          <w:iCs w:val="0"/>
                          <w:color w:val="000000" w:themeColor="text1"/>
                          <w:sz w:val="24"/>
                          <w:szCs w:val="24"/>
                        </w:rPr>
                        <w:fldChar w:fldCharType="separate"/>
                      </w:r>
                      <w:r w:rsidRPr="001A63DE">
                        <w:rPr>
                          <w:i w:val="0"/>
                          <w:iCs w:val="0"/>
                          <w:noProof/>
                          <w:color w:val="000000" w:themeColor="text1"/>
                          <w:sz w:val="24"/>
                          <w:szCs w:val="24"/>
                        </w:rPr>
                        <w:t>3</w:t>
                      </w:r>
                      <w:r w:rsidRPr="001A63DE">
                        <w:rPr>
                          <w:i w:val="0"/>
                          <w:iCs w:val="0"/>
                          <w:color w:val="000000" w:themeColor="text1"/>
                          <w:sz w:val="24"/>
                          <w:szCs w:val="24"/>
                        </w:rPr>
                        <w:fldChar w:fldCharType="end"/>
                      </w:r>
                      <w:r w:rsidRPr="001A63DE">
                        <w:rPr>
                          <w:i w:val="0"/>
                          <w:iCs w:val="0"/>
                          <w:color w:val="000000" w:themeColor="text1"/>
                          <w:sz w:val="24"/>
                          <w:szCs w:val="24"/>
                        </w:rPr>
                        <w:t>: Alissa Interpret Main Dashboard.</w:t>
                      </w:r>
                    </w:p>
                    <w:p w14:paraId="17A967EA" w14:textId="1967E372" w:rsidR="00970927" w:rsidRPr="001A63DE" w:rsidRDefault="00970927" w:rsidP="00970927">
                      <w:pPr>
                        <w:pStyle w:val="Caption"/>
                        <w:rPr>
                          <w:noProof/>
                          <w:sz w:val="24"/>
                          <w:szCs w:val="24"/>
                        </w:rPr>
                      </w:pPr>
                      <w:r w:rsidRPr="001A63DE">
                        <w:rPr>
                          <w:i w:val="0"/>
                          <w:iCs w:val="0"/>
                          <w:color w:val="000000" w:themeColor="text1"/>
                          <w:sz w:val="24"/>
                          <w:szCs w:val="24"/>
                        </w:rPr>
                        <w:br/>
                        <w:t>This image shows the file management interface within the Alissa Interpret platform. It provides a view of uploaded variant call format (VCF) files, including key metadata such as genome build (GRCh38), lab result status</w:t>
                      </w:r>
                      <w:r w:rsidR="001A63DE" w:rsidRPr="001A63DE">
                        <w:rPr>
                          <w:i w:val="0"/>
                          <w:iCs w:val="0"/>
                          <w:color w:val="000000" w:themeColor="text1"/>
                          <w:sz w:val="24"/>
                          <w:szCs w:val="24"/>
                        </w:rPr>
                        <w:t xml:space="preserve"> </w:t>
                      </w:r>
                      <w:r w:rsidRPr="001A63DE">
                        <w:rPr>
                          <w:i w:val="0"/>
                          <w:iCs w:val="0"/>
                          <w:color w:val="000000" w:themeColor="text1"/>
                          <w:sz w:val="24"/>
                          <w:szCs w:val="24"/>
                        </w:rPr>
                        <w:t xml:space="preserve">and total variant count. </w:t>
                      </w:r>
                      <w:r w:rsidR="001A63DE" w:rsidRPr="001A63DE">
                        <w:rPr>
                          <w:i w:val="0"/>
                          <w:iCs w:val="0"/>
                          <w:color w:val="000000" w:themeColor="text1"/>
                          <w:sz w:val="24"/>
                          <w:szCs w:val="24"/>
                        </w:rPr>
                        <w:t>Clinical Scientists</w:t>
                      </w:r>
                      <w:r w:rsidRPr="001A63DE">
                        <w:rPr>
                          <w:i w:val="0"/>
                          <w:iCs w:val="0"/>
                          <w:color w:val="000000" w:themeColor="text1"/>
                          <w:sz w:val="24"/>
                          <w:szCs w:val="24"/>
                        </w:rPr>
                        <w:t xml:space="preserve"> can filter, search and manage files efficiently</w:t>
                      </w:r>
                      <w:r w:rsidR="001A63DE" w:rsidRPr="001A63DE">
                        <w:rPr>
                          <w:i w:val="0"/>
                          <w:iCs w:val="0"/>
                          <w:color w:val="000000" w:themeColor="text1"/>
                          <w:sz w:val="24"/>
                          <w:szCs w:val="24"/>
                        </w:rPr>
                        <w:t>.</w:t>
                      </w:r>
                    </w:p>
                  </w:txbxContent>
                </v:textbox>
                <w10:wrap type="tight" anchory="page"/>
              </v:shape>
            </w:pict>
          </mc:Fallback>
        </mc:AlternateContent>
      </w:r>
      <w:r w:rsidR="00335A2D">
        <w:rPr>
          <w:noProof/>
        </w:rPr>
        <w:drawing>
          <wp:anchor distT="0" distB="0" distL="114300" distR="114300" simplePos="0" relativeHeight="251666432" behindDoc="1" locked="0" layoutInCell="1" allowOverlap="1" wp14:anchorId="22D83313" wp14:editId="469A1386">
            <wp:simplePos x="0" y="0"/>
            <wp:positionH relativeFrom="margin">
              <wp:align>center</wp:align>
            </wp:positionH>
            <wp:positionV relativeFrom="paragraph">
              <wp:posOffset>212162</wp:posOffset>
            </wp:positionV>
            <wp:extent cx="6915256" cy="3778370"/>
            <wp:effectExtent l="0" t="0" r="0" b="0"/>
            <wp:wrapTight wrapText="bothSides">
              <wp:wrapPolygon edited="0">
                <wp:start x="0" y="0"/>
                <wp:lineTo x="0" y="21455"/>
                <wp:lineTo x="21540" y="21455"/>
                <wp:lineTo x="21540" y="0"/>
                <wp:lineTo x="0" y="0"/>
              </wp:wrapPolygon>
            </wp:wrapTight>
            <wp:docPr id="1467548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48161" name="Picture 1" descr="A screenshot of a computer&#10;&#10;AI-generated content may be incorrect."/>
                    <pic:cNvPicPr/>
                  </pic:nvPicPr>
                  <pic:blipFill rotWithShape="1">
                    <a:blip r:embed="rId10" cstate="print">
                      <a:extLst>
                        <a:ext uri="{28A0092B-C50C-407E-A947-70E740481C1C}">
                          <a14:useLocalDpi xmlns:a14="http://schemas.microsoft.com/office/drawing/2010/main" val="0"/>
                        </a:ext>
                      </a:extLst>
                    </a:blip>
                    <a:srcRect t="-289" r="33648"/>
                    <a:stretch/>
                  </pic:blipFill>
                  <pic:spPr bwMode="auto">
                    <a:xfrm>
                      <a:off x="0" y="0"/>
                      <a:ext cx="6915256" cy="3778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5CCC10" w14:textId="77777777" w:rsidR="00606450" w:rsidRDefault="00606450" w:rsidP="007C1625">
      <w:pPr>
        <w:jc w:val="both"/>
        <w:rPr>
          <w:b/>
          <w:bCs/>
          <w:sz w:val="24"/>
          <w:szCs w:val="24"/>
        </w:rPr>
      </w:pPr>
    </w:p>
    <w:p w14:paraId="62BF34EE" w14:textId="6C3B3493" w:rsidR="008403A7" w:rsidRDefault="007C1625" w:rsidP="007C1625">
      <w:pPr>
        <w:jc w:val="both"/>
        <w:rPr>
          <w:b/>
          <w:bCs/>
          <w:sz w:val="24"/>
          <w:szCs w:val="24"/>
        </w:rPr>
      </w:pPr>
      <w:r w:rsidRPr="0014454B">
        <w:rPr>
          <w:b/>
          <w:bCs/>
          <w:sz w:val="24"/>
          <w:szCs w:val="24"/>
        </w:rPr>
        <w:lastRenderedPageBreak/>
        <w:t>Applicability</w:t>
      </w:r>
      <w:r w:rsidRPr="00603A74">
        <w:rPr>
          <w:b/>
          <w:bCs/>
          <w:sz w:val="24"/>
          <w:szCs w:val="24"/>
        </w:rPr>
        <w:t xml:space="preserve"> to </w:t>
      </w:r>
      <w:r>
        <w:rPr>
          <w:b/>
          <w:bCs/>
          <w:sz w:val="24"/>
          <w:szCs w:val="24"/>
        </w:rPr>
        <w:t xml:space="preserve">TSO500 and Pan-Haem </w:t>
      </w:r>
      <w:r w:rsidRPr="00603A74">
        <w:rPr>
          <w:b/>
          <w:bCs/>
          <w:sz w:val="24"/>
          <w:szCs w:val="24"/>
        </w:rPr>
        <w:t>workflow</w:t>
      </w:r>
      <w:r w:rsidRPr="0014454B">
        <w:rPr>
          <w:b/>
          <w:bCs/>
          <w:sz w:val="24"/>
          <w:szCs w:val="24"/>
        </w:rPr>
        <w:t>:</w:t>
      </w:r>
    </w:p>
    <w:p w14:paraId="7DB9A7D2" w14:textId="7284953A" w:rsidR="00255B99" w:rsidRPr="00255B99" w:rsidRDefault="00255B99" w:rsidP="00255B99">
      <w:pPr>
        <w:jc w:val="both"/>
        <w:rPr>
          <w:sz w:val="24"/>
          <w:szCs w:val="24"/>
        </w:rPr>
      </w:pPr>
      <w:r w:rsidRPr="00255B99">
        <w:rPr>
          <w:sz w:val="24"/>
          <w:szCs w:val="24"/>
        </w:rPr>
        <w:t>In the TSO500 workflow, Alissa is used not only for variant assessment, but also for</w:t>
      </w:r>
      <w:r w:rsidRPr="00255B99">
        <w:rPr>
          <w:b/>
          <w:bCs/>
          <w:sz w:val="24"/>
          <w:szCs w:val="24"/>
        </w:rPr>
        <w:t xml:space="preserve"> </w:t>
      </w:r>
      <w:r w:rsidRPr="00255B99">
        <w:rPr>
          <w:sz w:val="24"/>
          <w:szCs w:val="24"/>
        </w:rPr>
        <w:t>coverage checks, peer-reviewed commenting and final report generation.</w:t>
      </w:r>
      <w:r w:rsidRPr="00255B99">
        <w:rPr>
          <w:sz w:val="24"/>
          <w:szCs w:val="24"/>
        </w:rPr>
        <w:br/>
        <w:t>Each variant is reviewed, annotated and discussed by two checkers directly within the platform. Annotations often include links to reference databases, artefact exclusions</w:t>
      </w:r>
      <w:r>
        <w:rPr>
          <w:sz w:val="24"/>
          <w:szCs w:val="24"/>
        </w:rPr>
        <w:t xml:space="preserve"> </w:t>
      </w:r>
      <w:r w:rsidRPr="00255B99">
        <w:rPr>
          <w:sz w:val="24"/>
          <w:szCs w:val="24"/>
        </w:rPr>
        <w:t>and notes on known polymorphisms.</w:t>
      </w:r>
      <w:r>
        <w:rPr>
          <w:sz w:val="24"/>
          <w:szCs w:val="24"/>
        </w:rPr>
        <w:t xml:space="preserve"> </w:t>
      </w:r>
      <w:r w:rsidRPr="00255B99">
        <w:rPr>
          <w:sz w:val="24"/>
          <w:szCs w:val="24"/>
        </w:rPr>
        <w:t>Following this, a structured PDF report is generated using a template</w:t>
      </w:r>
      <w:r>
        <w:rPr>
          <w:sz w:val="24"/>
          <w:szCs w:val="24"/>
        </w:rPr>
        <w:t>.</w:t>
      </w:r>
    </w:p>
    <w:p w14:paraId="5CF4DFA4" w14:textId="61B15C9F" w:rsidR="00255B99" w:rsidRDefault="00255B99" w:rsidP="00255B99">
      <w:pPr>
        <w:jc w:val="both"/>
        <w:rPr>
          <w:sz w:val="24"/>
          <w:szCs w:val="24"/>
        </w:rPr>
      </w:pPr>
      <w:r w:rsidRPr="00255B99">
        <w:rPr>
          <w:sz w:val="24"/>
          <w:szCs w:val="24"/>
        </w:rPr>
        <w:t xml:space="preserve">We also rely on Alissa’s ability to manage custom gene panels, classification tree logic and manual overrides, all of which are reflected in the final report. If any of these processes are done outside of an integrated platform, we </w:t>
      </w:r>
      <w:r>
        <w:rPr>
          <w:sz w:val="24"/>
          <w:szCs w:val="24"/>
        </w:rPr>
        <w:t xml:space="preserve">risk </w:t>
      </w:r>
      <w:r w:rsidRPr="00255B99">
        <w:rPr>
          <w:sz w:val="24"/>
          <w:szCs w:val="24"/>
        </w:rPr>
        <w:t>increasing turnaround time</w:t>
      </w:r>
      <w:r>
        <w:rPr>
          <w:sz w:val="24"/>
          <w:szCs w:val="24"/>
        </w:rPr>
        <w:t xml:space="preserve"> </w:t>
      </w:r>
      <w:r w:rsidRPr="00255B99">
        <w:rPr>
          <w:sz w:val="24"/>
          <w:szCs w:val="24"/>
        </w:rPr>
        <w:t>and compromising data integrity</w:t>
      </w:r>
      <w:r>
        <w:rPr>
          <w:sz w:val="24"/>
          <w:szCs w:val="24"/>
        </w:rPr>
        <w:t>.</w:t>
      </w:r>
    </w:p>
    <w:p w14:paraId="5297B5CA" w14:textId="2AD105DB" w:rsidR="00255B99" w:rsidRDefault="00255B99" w:rsidP="00255B99">
      <w:pPr>
        <w:jc w:val="both"/>
        <w:rPr>
          <w:sz w:val="24"/>
          <w:szCs w:val="24"/>
        </w:rPr>
      </w:pPr>
      <w:r w:rsidRPr="00255B99">
        <w:rPr>
          <w:sz w:val="24"/>
          <w:szCs w:val="24"/>
        </w:rPr>
        <w:t xml:space="preserve">Alissa also plays a central role in the </w:t>
      </w:r>
      <w:r>
        <w:rPr>
          <w:sz w:val="24"/>
          <w:szCs w:val="24"/>
        </w:rPr>
        <w:t>P</w:t>
      </w:r>
      <w:r w:rsidRPr="00255B99">
        <w:rPr>
          <w:sz w:val="24"/>
          <w:szCs w:val="24"/>
        </w:rPr>
        <w:t>a</w:t>
      </w:r>
      <w:r>
        <w:rPr>
          <w:sz w:val="24"/>
          <w:szCs w:val="24"/>
        </w:rPr>
        <w:t>n-Haem</w:t>
      </w:r>
      <w:r w:rsidRPr="00255B99">
        <w:rPr>
          <w:sz w:val="24"/>
          <w:szCs w:val="24"/>
        </w:rPr>
        <w:t xml:space="preserve"> pipeline. The analysis starts with sequencing data processed via Illumina’s DRAGEN pipeline. The resulting VCF files are uploaded into Alissa.</w:t>
      </w:r>
      <w:r w:rsidR="00ED590E">
        <w:rPr>
          <w:sz w:val="24"/>
          <w:szCs w:val="24"/>
        </w:rPr>
        <w:t xml:space="preserve"> </w:t>
      </w:r>
      <w:r w:rsidRPr="00255B99">
        <w:rPr>
          <w:sz w:val="24"/>
          <w:szCs w:val="24"/>
        </w:rPr>
        <w:t>Alissa then uses classification trees tailored for SNVs, CNVs, and structural variants based on the national Cancer Test Directory. These trees help prioritise variants according to clinical significance, which is critical for accurate diagnosis and treatment guidance.</w:t>
      </w:r>
    </w:p>
    <w:p w14:paraId="29847CE3" w14:textId="14444159" w:rsidR="0017017A" w:rsidRPr="0017017A" w:rsidRDefault="0017017A" w:rsidP="00255B99">
      <w:pPr>
        <w:jc w:val="both"/>
        <w:rPr>
          <w:b/>
          <w:bCs/>
          <w:sz w:val="24"/>
          <w:szCs w:val="24"/>
        </w:rPr>
      </w:pPr>
    </w:p>
    <w:p w14:paraId="1ECFF642" w14:textId="77D154FA" w:rsidR="0017017A" w:rsidRDefault="0017017A" w:rsidP="00255B99">
      <w:pPr>
        <w:jc w:val="both"/>
        <w:rPr>
          <w:b/>
          <w:bCs/>
          <w:sz w:val="24"/>
          <w:szCs w:val="24"/>
        </w:rPr>
      </w:pPr>
      <w:r w:rsidRPr="0017017A">
        <w:rPr>
          <w:b/>
          <w:bCs/>
          <w:sz w:val="24"/>
          <w:szCs w:val="24"/>
        </w:rPr>
        <w:t>Reflection</w:t>
      </w:r>
      <w:r>
        <w:rPr>
          <w:b/>
          <w:bCs/>
          <w:sz w:val="24"/>
          <w:szCs w:val="24"/>
        </w:rPr>
        <w:t xml:space="preserve"> - Alissa</w:t>
      </w:r>
    </w:p>
    <w:p w14:paraId="564C1670" w14:textId="0E59163E" w:rsidR="0017017A" w:rsidRDefault="0017017A" w:rsidP="00255B99">
      <w:pPr>
        <w:jc w:val="both"/>
        <w:rPr>
          <w:sz w:val="24"/>
          <w:szCs w:val="24"/>
        </w:rPr>
      </w:pPr>
      <w:r w:rsidRPr="0017017A">
        <w:rPr>
          <w:sz w:val="24"/>
          <w:szCs w:val="24"/>
        </w:rPr>
        <w:t>Alissa Interpret offered a more flexible and lab-facing interface, especially well-suited for labs managing a high volume of files across various genomic indications. I was impressed by the detailed file tracking and variant management system, and how well it integrates with broader workflows like CNV analysis</w:t>
      </w:r>
      <w:r>
        <w:rPr>
          <w:sz w:val="24"/>
          <w:szCs w:val="24"/>
        </w:rPr>
        <w:t>. I</w:t>
      </w:r>
      <w:r w:rsidRPr="0017017A">
        <w:rPr>
          <w:sz w:val="24"/>
          <w:szCs w:val="24"/>
        </w:rPr>
        <w:t>t appears more customi</w:t>
      </w:r>
      <w:r>
        <w:rPr>
          <w:sz w:val="24"/>
          <w:szCs w:val="24"/>
        </w:rPr>
        <w:t>s</w:t>
      </w:r>
      <w:r w:rsidRPr="0017017A">
        <w:rPr>
          <w:sz w:val="24"/>
          <w:szCs w:val="24"/>
        </w:rPr>
        <w:t xml:space="preserve">able, which </w:t>
      </w:r>
      <w:r>
        <w:rPr>
          <w:sz w:val="24"/>
          <w:szCs w:val="24"/>
        </w:rPr>
        <w:t>benefit labs like WMRGL</w:t>
      </w:r>
      <w:r w:rsidRPr="0017017A">
        <w:rPr>
          <w:sz w:val="24"/>
          <w:szCs w:val="24"/>
        </w:rPr>
        <w:t xml:space="preserve"> that handle both germline and somatic variant interpretation. That said, it seemed slightly more technical and possibly less streamlined for clinic</w:t>
      </w:r>
      <w:r>
        <w:rPr>
          <w:sz w:val="24"/>
          <w:szCs w:val="24"/>
        </w:rPr>
        <w:t>al scientists</w:t>
      </w:r>
      <w:r w:rsidRPr="0017017A">
        <w:rPr>
          <w:sz w:val="24"/>
          <w:szCs w:val="24"/>
        </w:rPr>
        <w:t xml:space="preserve"> who need </w:t>
      </w:r>
      <w:r>
        <w:rPr>
          <w:sz w:val="24"/>
          <w:szCs w:val="24"/>
        </w:rPr>
        <w:t>fast</w:t>
      </w:r>
      <w:r w:rsidRPr="0017017A">
        <w:rPr>
          <w:sz w:val="24"/>
          <w:szCs w:val="24"/>
        </w:rPr>
        <w:t xml:space="preserve"> insight from a</w:t>
      </w:r>
      <w:r>
        <w:rPr>
          <w:sz w:val="24"/>
          <w:szCs w:val="24"/>
        </w:rPr>
        <w:t xml:space="preserve">n </w:t>
      </w:r>
      <w:r w:rsidRPr="0017017A">
        <w:rPr>
          <w:sz w:val="24"/>
          <w:szCs w:val="24"/>
        </w:rPr>
        <w:t>output.</w:t>
      </w:r>
    </w:p>
    <w:p w14:paraId="2C77D4F0" w14:textId="77777777" w:rsidR="0017017A" w:rsidRDefault="0017017A" w:rsidP="00255B99">
      <w:pPr>
        <w:jc w:val="both"/>
        <w:rPr>
          <w:sz w:val="24"/>
          <w:szCs w:val="24"/>
        </w:rPr>
      </w:pPr>
    </w:p>
    <w:p w14:paraId="75A0E6DB" w14:textId="62836744" w:rsidR="0017017A" w:rsidRDefault="0017017A" w:rsidP="00255B99">
      <w:pPr>
        <w:jc w:val="both"/>
        <w:rPr>
          <w:b/>
          <w:bCs/>
          <w:sz w:val="32"/>
          <w:szCs w:val="32"/>
        </w:rPr>
      </w:pPr>
      <w:r w:rsidRPr="0017017A">
        <w:rPr>
          <w:b/>
          <w:bCs/>
          <w:sz w:val="32"/>
          <w:szCs w:val="32"/>
        </w:rPr>
        <w:t>Final Reflection</w:t>
      </w:r>
    </w:p>
    <w:p w14:paraId="2AC25DC5" w14:textId="722001E0" w:rsidR="00C1731A" w:rsidRPr="00C1731A" w:rsidRDefault="00C1731A" w:rsidP="00C1731A">
      <w:pPr>
        <w:jc w:val="both"/>
        <w:rPr>
          <w:sz w:val="24"/>
          <w:szCs w:val="24"/>
        </w:rPr>
      </w:pPr>
      <w:r w:rsidRPr="00C1731A">
        <w:rPr>
          <w:sz w:val="24"/>
          <w:szCs w:val="24"/>
        </w:rPr>
        <w:t xml:space="preserve">After reviewing both Congenica and Alissa Interpret, I realised there are several key areas where I need to develop my knowledge and skills further to use these tools effectively in clinical or diagnostic settings. While I could follow the interface and general functionality of both platforms, I found that I lack a deeper understanding of variant classification frameworks, particularly how the ACMG guidelines are practically applied within these tools. </w:t>
      </w:r>
    </w:p>
    <w:p w14:paraId="689CA5B5" w14:textId="632922A8" w:rsidR="0017017A" w:rsidRDefault="00C1731A" w:rsidP="00255B99">
      <w:pPr>
        <w:jc w:val="both"/>
        <w:rPr>
          <w:sz w:val="24"/>
          <w:szCs w:val="24"/>
        </w:rPr>
      </w:pPr>
      <w:r w:rsidRPr="00C1731A">
        <w:rPr>
          <w:sz w:val="24"/>
          <w:szCs w:val="24"/>
        </w:rPr>
        <w:t xml:space="preserve">I also recognised a gap in understanding how to evaluate when to use one tool over another based on diagnostic needs, lab priorities or reporting requirements. This highlighted the importance of clinical judgement and systems thinking when integrating digital tools into practice. </w:t>
      </w:r>
    </w:p>
    <w:p w14:paraId="0445ACA1" w14:textId="18636986" w:rsidR="0017017A" w:rsidRPr="0017017A" w:rsidRDefault="0017017A" w:rsidP="00255B99">
      <w:pPr>
        <w:jc w:val="both"/>
        <w:rPr>
          <w:b/>
          <w:bCs/>
          <w:sz w:val="32"/>
          <w:szCs w:val="32"/>
        </w:rPr>
      </w:pPr>
      <w:r w:rsidRPr="0017017A">
        <w:rPr>
          <w:b/>
          <w:bCs/>
          <w:sz w:val="32"/>
          <w:szCs w:val="32"/>
        </w:rPr>
        <w:lastRenderedPageBreak/>
        <w:t>Action Plan for Knowledge gaps</w:t>
      </w:r>
    </w:p>
    <w:p w14:paraId="4386D779" w14:textId="77777777" w:rsidR="0017017A" w:rsidRDefault="0017017A" w:rsidP="00255B99">
      <w:pPr>
        <w:jc w:val="both"/>
        <w:rPr>
          <w:sz w:val="24"/>
          <w:szCs w:val="24"/>
        </w:rPr>
      </w:pPr>
    </w:p>
    <w:tbl>
      <w:tblPr>
        <w:tblStyle w:val="GridTable4-Accent4"/>
        <w:tblW w:w="0" w:type="auto"/>
        <w:tblLook w:val="04A0" w:firstRow="1" w:lastRow="0" w:firstColumn="1" w:lastColumn="0" w:noHBand="0" w:noVBand="1"/>
      </w:tblPr>
      <w:tblGrid>
        <w:gridCol w:w="2660"/>
        <w:gridCol w:w="3515"/>
        <w:gridCol w:w="2841"/>
      </w:tblGrid>
      <w:tr w:rsidR="00C1731A" w:rsidRPr="00C1731A" w14:paraId="5CED82A1" w14:textId="77777777" w:rsidTr="00C17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C4D6DF" w14:textId="77777777" w:rsidR="00C1731A" w:rsidRPr="00C1731A" w:rsidRDefault="00C1731A" w:rsidP="00C1731A">
            <w:pPr>
              <w:spacing w:after="160" w:line="259" w:lineRule="auto"/>
              <w:jc w:val="both"/>
              <w:rPr>
                <w:sz w:val="24"/>
                <w:szCs w:val="24"/>
              </w:rPr>
            </w:pPr>
            <w:r w:rsidRPr="00C1731A">
              <w:rPr>
                <w:sz w:val="24"/>
                <w:szCs w:val="24"/>
              </w:rPr>
              <w:t>Goal</w:t>
            </w:r>
          </w:p>
        </w:tc>
        <w:tc>
          <w:tcPr>
            <w:tcW w:w="0" w:type="auto"/>
            <w:hideMark/>
          </w:tcPr>
          <w:p w14:paraId="7474003A" w14:textId="77777777" w:rsidR="00C1731A" w:rsidRPr="00C1731A" w:rsidRDefault="00C1731A" w:rsidP="00C1731A">
            <w:pPr>
              <w:spacing w:after="160" w:line="259" w:lineRule="auto"/>
              <w:jc w:val="both"/>
              <w:cnfStyle w:val="100000000000" w:firstRow="1" w:lastRow="0" w:firstColumn="0" w:lastColumn="0" w:oddVBand="0" w:evenVBand="0" w:oddHBand="0" w:evenHBand="0" w:firstRowFirstColumn="0" w:firstRowLastColumn="0" w:lastRowFirstColumn="0" w:lastRowLastColumn="0"/>
              <w:rPr>
                <w:sz w:val="24"/>
                <w:szCs w:val="24"/>
              </w:rPr>
            </w:pPr>
            <w:r w:rsidRPr="00C1731A">
              <w:rPr>
                <w:sz w:val="24"/>
                <w:szCs w:val="24"/>
              </w:rPr>
              <w:t>Action</w:t>
            </w:r>
          </w:p>
        </w:tc>
        <w:tc>
          <w:tcPr>
            <w:tcW w:w="0" w:type="auto"/>
            <w:hideMark/>
          </w:tcPr>
          <w:p w14:paraId="3A0B41F1" w14:textId="77777777" w:rsidR="00C1731A" w:rsidRPr="00C1731A" w:rsidRDefault="00C1731A" w:rsidP="00C1731A">
            <w:pPr>
              <w:spacing w:after="160" w:line="259" w:lineRule="auto"/>
              <w:jc w:val="both"/>
              <w:cnfStyle w:val="100000000000" w:firstRow="1" w:lastRow="0" w:firstColumn="0" w:lastColumn="0" w:oddVBand="0" w:evenVBand="0" w:oddHBand="0" w:evenHBand="0" w:firstRowFirstColumn="0" w:firstRowLastColumn="0" w:lastRowFirstColumn="0" w:lastRowLastColumn="0"/>
              <w:rPr>
                <w:sz w:val="24"/>
                <w:szCs w:val="24"/>
              </w:rPr>
            </w:pPr>
            <w:r w:rsidRPr="00C1731A">
              <w:rPr>
                <w:sz w:val="24"/>
                <w:szCs w:val="24"/>
              </w:rPr>
              <w:t>Resources</w:t>
            </w:r>
          </w:p>
        </w:tc>
      </w:tr>
      <w:tr w:rsidR="00C1731A" w:rsidRPr="00C1731A" w14:paraId="1793D4C2" w14:textId="77777777" w:rsidTr="00C1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950A7" w14:textId="77777777" w:rsidR="00C1731A" w:rsidRPr="00C1731A" w:rsidRDefault="00C1731A" w:rsidP="00C1731A">
            <w:pPr>
              <w:spacing w:after="160" w:line="259" w:lineRule="auto"/>
              <w:rPr>
                <w:b w:val="0"/>
                <w:bCs w:val="0"/>
                <w:sz w:val="24"/>
                <w:szCs w:val="24"/>
              </w:rPr>
            </w:pPr>
            <w:r w:rsidRPr="00C1731A">
              <w:rPr>
                <w:b w:val="0"/>
                <w:bCs w:val="0"/>
                <w:sz w:val="24"/>
                <w:szCs w:val="24"/>
              </w:rPr>
              <w:t>Build competence in variant interpretation using ACMG guidelines</w:t>
            </w:r>
          </w:p>
        </w:tc>
        <w:tc>
          <w:tcPr>
            <w:tcW w:w="0" w:type="auto"/>
            <w:hideMark/>
          </w:tcPr>
          <w:p w14:paraId="4657DB4D" w14:textId="77777777" w:rsidR="00C1731A" w:rsidRPr="00C1731A" w:rsidRDefault="00C1731A" w:rsidP="00C1731A">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1731A">
              <w:rPr>
                <w:sz w:val="24"/>
                <w:szCs w:val="24"/>
              </w:rPr>
              <w:t>Complete a short course or internal training module focused on ACMG classification and variant curation</w:t>
            </w:r>
          </w:p>
        </w:tc>
        <w:tc>
          <w:tcPr>
            <w:tcW w:w="0" w:type="auto"/>
            <w:hideMark/>
          </w:tcPr>
          <w:p w14:paraId="10974DE4" w14:textId="77777777" w:rsidR="00C1731A" w:rsidRPr="00C1731A" w:rsidRDefault="00C1731A" w:rsidP="00C1731A">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1731A">
              <w:rPr>
                <w:sz w:val="24"/>
                <w:szCs w:val="24"/>
              </w:rPr>
              <w:t>Genomics Education Programme, ESHG courses, internal SOPs</w:t>
            </w:r>
          </w:p>
        </w:tc>
      </w:tr>
      <w:tr w:rsidR="00C1731A" w:rsidRPr="00C1731A" w14:paraId="4AC6C466" w14:textId="77777777" w:rsidTr="00C1731A">
        <w:tc>
          <w:tcPr>
            <w:cnfStyle w:val="001000000000" w:firstRow="0" w:lastRow="0" w:firstColumn="1" w:lastColumn="0" w:oddVBand="0" w:evenVBand="0" w:oddHBand="0" w:evenHBand="0" w:firstRowFirstColumn="0" w:firstRowLastColumn="0" w:lastRowFirstColumn="0" w:lastRowLastColumn="0"/>
            <w:tcW w:w="0" w:type="auto"/>
            <w:hideMark/>
          </w:tcPr>
          <w:p w14:paraId="1D55E168" w14:textId="77777777" w:rsidR="00C1731A" w:rsidRPr="00C1731A" w:rsidRDefault="00C1731A" w:rsidP="00C1731A">
            <w:pPr>
              <w:spacing w:after="160" w:line="259" w:lineRule="auto"/>
              <w:rPr>
                <w:b w:val="0"/>
                <w:bCs w:val="0"/>
                <w:sz w:val="24"/>
                <w:szCs w:val="24"/>
              </w:rPr>
            </w:pPr>
            <w:r w:rsidRPr="00C1731A">
              <w:rPr>
                <w:b w:val="0"/>
                <w:bCs w:val="0"/>
                <w:sz w:val="24"/>
                <w:szCs w:val="24"/>
              </w:rPr>
              <w:t>Understand strategic tool selection for different workflows</w:t>
            </w:r>
          </w:p>
        </w:tc>
        <w:tc>
          <w:tcPr>
            <w:tcW w:w="0" w:type="auto"/>
            <w:hideMark/>
          </w:tcPr>
          <w:p w14:paraId="02B51ED6" w14:textId="77777777" w:rsidR="00C1731A" w:rsidRPr="00C1731A" w:rsidRDefault="00C1731A" w:rsidP="00C1731A">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1731A">
              <w:rPr>
                <w:sz w:val="24"/>
                <w:szCs w:val="24"/>
              </w:rPr>
              <w:t>Review real-world case studies and participate in workflow planning meetings where tool use is discussed</w:t>
            </w:r>
          </w:p>
        </w:tc>
        <w:tc>
          <w:tcPr>
            <w:tcW w:w="0" w:type="auto"/>
            <w:hideMark/>
          </w:tcPr>
          <w:p w14:paraId="5B0ADCD5" w14:textId="681CF5FC" w:rsidR="00C1731A" w:rsidRPr="00C1731A" w:rsidRDefault="00C1731A" w:rsidP="00C1731A">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1731A">
              <w:rPr>
                <w:sz w:val="24"/>
                <w:szCs w:val="24"/>
              </w:rPr>
              <w:t>SOPs, attending lab/clinical discussions</w:t>
            </w:r>
          </w:p>
        </w:tc>
      </w:tr>
      <w:tr w:rsidR="00C1731A" w:rsidRPr="00C1731A" w14:paraId="13C60DE6" w14:textId="77777777" w:rsidTr="00C1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961E8" w14:textId="77777777" w:rsidR="00C1731A" w:rsidRPr="00C1731A" w:rsidRDefault="00C1731A" w:rsidP="00C1731A">
            <w:pPr>
              <w:spacing w:after="160" w:line="259" w:lineRule="auto"/>
              <w:rPr>
                <w:b w:val="0"/>
                <w:bCs w:val="0"/>
                <w:sz w:val="24"/>
                <w:szCs w:val="24"/>
              </w:rPr>
            </w:pPr>
            <w:r w:rsidRPr="00C1731A">
              <w:rPr>
                <w:b w:val="0"/>
                <w:bCs w:val="0"/>
                <w:sz w:val="24"/>
                <w:szCs w:val="24"/>
              </w:rPr>
              <w:t>Improve ability to communicate genomic results</w:t>
            </w:r>
          </w:p>
        </w:tc>
        <w:tc>
          <w:tcPr>
            <w:tcW w:w="0" w:type="auto"/>
            <w:hideMark/>
          </w:tcPr>
          <w:p w14:paraId="53DDEDDA" w14:textId="77777777" w:rsidR="00C1731A" w:rsidRPr="00C1731A" w:rsidRDefault="00C1731A" w:rsidP="00C1731A">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1731A">
              <w:rPr>
                <w:sz w:val="24"/>
                <w:szCs w:val="24"/>
              </w:rPr>
              <w:t>Practice summarising variant interpretations into clear, clinical-facing reports with supervision</w:t>
            </w:r>
          </w:p>
        </w:tc>
        <w:tc>
          <w:tcPr>
            <w:tcW w:w="0" w:type="auto"/>
            <w:hideMark/>
          </w:tcPr>
          <w:p w14:paraId="41AFE3E1" w14:textId="77777777" w:rsidR="00C1731A" w:rsidRPr="00C1731A" w:rsidRDefault="00C1731A" w:rsidP="00C1731A">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1731A">
              <w:rPr>
                <w:sz w:val="24"/>
                <w:szCs w:val="24"/>
              </w:rPr>
              <w:t>Support from senior clinical scientists or bioinformaticians</w:t>
            </w:r>
          </w:p>
        </w:tc>
      </w:tr>
      <w:tr w:rsidR="00C1731A" w:rsidRPr="00C1731A" w14:paraId="16F60440" w14:textId="77777777" w:rsidTr="00C1731A">
        <w:tc>
          <w:tcPr>
            <w:cnfStyle w:val="001000000000" w:firstRow="0" w:lastRow="0" w:firstColumn="1" w:lastColumn="0" w:oddVBand="0" w:evenVBand="0" w:oddHBand="0" w:evenHBand="0" w:firstRowFirstColumn="0" w:firstRowLastColumn="0" w:lastRowFirstColumn="0" w:lastRowLastColumn="0"/>
            <w:tcW w:w="0" w:type="auto"/>
            <w:hideMark/>
          </w:tcPr>
          <w:p w14:paraId="300FFE42" w14:textId="77777777" w:rsidR="00C1731A" w:rsidRPr="00C1731A" w:rsidRDefault="00C1731A" w:rsidP="00C1731A">
            <w:pPr>
              <w:spacing w:after="160" w:line="259" w:lineRule="auto"/>
              <w:rPr>
                <w:b w:val="0"/>
                <w:bCs w:val="0"/>
                <w:sz w:val="24"/>
                <w:szCs w:val="24"/>
              </w:rPr>
            </w:pPr>
            <w:r w:rsidRPr="00C1731A">
              <w:rPr>
                <w:b w:val="0"/>
                <w:bCs w:val="0"/>
                <w:sz w:val="24"/>
                <w:szCs w:val="24"/>
              </w:rPr>
              <w:t>Learn how digital tools are integrated into wider clinical systems</w:t>
            </w:r>
          </w:p>
        </w:tc>
        <w:tc>
          <w:tcPr>
            <w:tcW w:w="0" w:type="auto"/>
            <w:hideMark/>
          </w:tcPr>
          <w:p w14:paraId="7099EB50" w14:textId="77777777" w:rsidR="00C1731A" w:rsidRPr="00C1731A" w:rsidRDefault="00C1731A" w:rsidP="00C1731A">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1731A">
              <w:rPr>
                <w:sz w:val="24"/>
                <w:szCs w:val="24"/>
              </w:rPr>
              <w:t>Attend IT and digital transformation briefings (where available), and explore LIMS/EHR integration pathways</w:t>
            </w:r>
          </w:p>
        </w:tc>
        <w:tc>
          <w:tcPr>
            <w:tcW w:w="0" w:type="auto"/>
            <w:hideMark/>
          </w:tcPr>
          <w:p w14:paraId="059096CE" w14:textId="77777777" w:rsidR="00C1731A" w:rsidRPr="00C1731A" w:rsidRDefault="00C1731A" w:rsidP="00C1731A">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1731A">
              <w:rPr>
                <w:sz w:val="24"/>
                <w:szCs w:val="24"/>
              </w:rPr>
              <w:t>Hospital IT teams, digital strategy groups, documentation reviews</w:t>
            </w:r>
          </w:p>
        </w:tc>
      </w:tr>
      <w:tr w:rsidR="00C1731A" w:rsidRPr="00C1731A" w14:paraId="3133BB22" w14:textId="77777777" w:rsidTr="00C1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DD38E" w14:textId="77777777" w:rsidR="00C1731A" w:rsidRPr="00C1731A" w:rsidRDefault="00C1731A" w:rsidP="00C1731A">
            <w:pPr>
              <w:spacing w:after="160" w:line="259" w:lineRule="auto"/>
              <w:rPr>
                <w:b w:val="0"/>
                <w:bCs w:val="0"/>
                <w:sz w:val="24"/>
                <w:szCs w:val="24"/>
              </w:rPr>
            </w:pPr>
            <w:r w:rsidRPr="00C1731A">
              <w:rPr>
                <w:b w:val="0"/>
                <w:bCs w:val="0"/>
                <w:sz w:val="24"/>
                <w:szCs w:val="24"/>
              </w:rPr>
              <w:t>Consolidate learning through documentation and reflection</w:t>
            </w:r>
          </w:p>
        </w:tc>
        <w:tc>
          <w:tcPr>
            <w:tcW w:w="0" w:type="auto"/>
            <w:hideMark/>
          </w:tcPr>
          <w:p w14:paraId="6879D34A" w14:textId="77777777" w:rsidR="00C1731A" w:rsidRPr="00C1731A" w:rsidRDefault="00C1731A" w:rsidP="00C1731A">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1731A">
              <w:rPr>
                <w:sz w:val="24"/>
                <w:szCs w:val="24"/>
              </w:rPr>
              <w:t>Create a short comparison guide or visual workflow showing how Congenica and Alissa fit into specific clinical contexts</w:t>
            </w:r>
          </w:p>
        </w:tc>
        <w:tc>
          <w:tcPr>
            <w:tcW w:w="0" w:type="auto"/>
            <w:hideMark/>
          </w:tcPr>
          <w:p w14:paraId="66A05D9A" w14:textId="77777777" w:rsidR="00C1731A" w:rsidRPr="00C1731A" w:rsidRDefault="00C1731A" w:rsidP="00C1731A">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1731A">
              <w:rPr>
                <w:sz w:val="24"/>
                <w:szCs w:val="24"/>
              </w:rPr>
              <w:t>Personal notes, supervisor feedback, platform user guides</w:t>
            </w:r>
          </w:p>
        </w:tc>
      </w:tr>
    </w:tbl>
    <w:p w14:paraId="07A7948A" w14:textId="77777777" w:rsidR="0017017A" w:rsidRPr="0017017A" w:rsidRDefault="0017017A" w:rsidP="00255B99">
      <w:pPr>
        <w:jc w:val="both"/>
        <w:rPr>
          <w:b/>
          <w:bCs/>
          <w:sz w:val="24"/>
          <w:szCs w:val="24"/>
        </w:rPr>
      </w:pPr>
    </w:p>
    <w:p w14:paraId="7C1C4771" w14:textId="1104EE64" w:rsidR="00971B72" w:rsidRPr="00255B99" w:rsidRDefault="00971B72" w:rsidP="00255B99">
      <w:pPr>
        <w:jc w:val="both"/>
        <w:rPr>
          <w:sz w:val="24"/>
          <w:szCs w:val="24"/>
        </w:rPr>
      </w:pPr>
    </w:p>
    <w:p w14:paraId="2CCC3EE8" w14:textId="77777777" w:rsidR="00255B99" w:rsidRDefault="00255B99" w:rsidP="00255B99">
      <w:pPr>
        <w:jc w:val="both"/>
        <w:rPr>
          <w:sz w:val="24"/>
          <w:szCs w:val="24"/>
        </w:rPr>
      </w:pPr>
    </w:p>
    <w:p w14:paraId="40C45125" w14:textId="77777777" w:rsidR="00255B99" w:rsidRPr="00255B99" w:rsidRDefault="00255B99" w:rsidP="00255B99">
      <w:pPr>
        <w:jc w:val="both"/>
        <w:rPr>
          <w:sz w:val="24"/>
          <w:szCs w:val="24"/>
        </w:rPr>
      </w:pPr>
    </w:p>
    <w:p w14:paraId="23600346" w14:textId="77777777" w:rsidR="007C1625" w:rsidRPr="007C1625" w:rsidRDefault="007C1625" w:rsidP="007C1625">
      <w:pPr>
        <w:jc w:val="both"/>
        <w:rPr>
          <w:sz w:val="24"/>
          <w:szCs w:val="24"/>
        </w:rPr>
      </w:pPr>
    </w:p>
    <w:p w14:paraId="462CE0EA" w14:textId="48F956F3" w:rsidR="007566DE" w:rsidRPr="007566DE" w:rsidRDefault="007566DE" w:rsidP="007C1625"/>
    <w:sectPr w:rsidR="007566DE" w:rsidRPr="007566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AF7F5" w14:textId="77777777" w:rsidR="00416D7F" w:rsidRDefault="00416D7F" w:rsidP="004A2E61">
      <w:pPr>
        <w:spacing w:after="0" w:line="240" w:lineRule="auto"/>
      </w:pPr>
      <w:r>
        <w:separator/>
      </w:r>
    </w:p>
  </w:endnote>
  <w:endnote w:type="continuationSeparator" w:id="0">
    <w:p w14:paraId="27267874" w14:textId="77777777" w:rsidR="00416D7F" w:rsidRDefault="00416D7F" w:rsidP="004A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3830D" w14:textId="77777777" w:rsidR="00416D7F" w:rsidRDefault="00416D7F" w:rsidP="004A2E61">
      <w:pPr>
        <w:spacing w:after="0" w:line="240" w:lineRule="auto"/>
      </w:pPr>
      <w:r>
        <w:separator/>
      </w:r>
    </w:p>
  </w:footnote>
  <w:footnote w:type="continuationSeparator" w:id="0">
    <w:p w14:paraId="4548D642" w14:textId="77777777" w:rsidR="00416D7F" w:rsidRDefault="00416D7F" w:rsidP="004A2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13984"/>
    <w:multiLevelType w:val="multilevel"/>
    <w:tmpl w:val="77A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014C1"/>
    <w:multiLevelType w:val="hybridMultilevel"/>
    <w:tmpl w:val="112068F6"/>
    <w:lvl w:ilvl="0" w:tplc="4262089E">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2429D"/>
    <w:multiLevelType w:val="hybridMultilevel"/>
    <w:tmpl w:val="5B90FDA4"/>
    <w:lvl w:ilvl="0" w:tplc="FB00BD80">
      <w:start w:val="1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70E72"/>
    <w:multiLevelType w:val="hybridMultilevel"/>
    <w:tmpl w:val="221279C4"/>
    <w:lvl w:ilvl="0" w:tplc="D04A2B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02A94"/>
    <w:multiLevelType w:val="multilevel"/>
    <w:tmpl w:val="79E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73D50"/>
    <w:multiLevelType w:val="multilevel"/>
    <w:tmpl w:val="EC1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E629E"/>
    <w:multiLevelType w:val="hybridMultilevel"/>
    <w:tmpl w:val="7A3A98CE"/>
    <w:lvl w:ilvl="0" w:tplc="BD74AD28">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BA35CC"/>
    <w:multiLevelType w:val="hybridMultilevel"/>
    <w:tmpl w:val="21401232"/>
    <w:lvl w:ilvl="0" w:tplc="08666D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328D9"/>
    <w:multiLevelType w:val="multilevel"/>
    <w:tmpl w:val="7850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471E4"/>
    <w:multiLevelType w:val="multilevel"/>
    <w:tmpl w:val="2ECA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487012">
    <w:abstractNumId w:val="1"/>
  </w:num>
  <w:num w:numId="2" w16cid:durableId="1598368862">
    <w:abstractNumId w:val="6"/>
  </w:num>
  <w:num w:numId="3" w16cid:durableId="763460185">
    <w:abstractNumId w:val="2"/>
  </w:num>
  <w:num w:numId="4" w16cid:durableId="1809978041">
    <w:abstractNumId w:val="7"/>
  </w:num>
  <w:num w:numId="5" w16cid:durableId="1726950768">
    <w:abstractNumId w:val="3"/>
  </w:num>
  <w:num w:numId="6" w16cid:durableId="887843879">
    <w:abstractNumId w:val="9"/>
  </w:num>
  <w:num w:numId="7" w16cid:durableId="222638180">
    <w:abstractNumId w:val="0"/>
  </w:num>
  <w:num w:numId="8" w16cid:durableId="2143116379">
    <w:abstractNumId w:val="4"/>
  </w:num>
  <w:num w:numId="9" w16cid:durableId="506411298">
    <w:abstractNumId w:val="5"/>
  </w:num>
  <w:num w:numId="10" w16cid:durableId="2029679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1"/>
    <w:rsid w:val="00006AA9"/>
    <w:rsid w:val="00022DBD"/>
    <w:rsid w:val="00027D5D"/>
    <w:rsid w:val="00066F77"/>
    <w:rsid w:val="0009123B"/>
    <w:rsid w:val="00114EEE"/>
    <w:rsid w:val="0014454B"/>
    <w:rsid w:val="0015253C"/>
    <w:rsid w:val="001554C0"/>
    <w:rsid w:val="0017017A"/>
    <w:rsid w:val="00182282"/>
    <w:rsid w:val="00190102"/>
    <w:rsid w:val="00194249"/>
    <w:rsid w:val="001A63DE"/>
    <w:rsid w:val="001E2625"/>
    <w:rsid w:val="001E5BC0"/>
    <w:rsid w:val="001E6D76"/>
    <w:rsid w:val="00212AD4"/>
    <w:rsid w:val="0022486B"/>
    <w:rsid w:val="00234F4F"/>
    <w:rsid w:val="00237F38"/>
    <w:rsid w:val="00245F58"/>
    <w:rsid w:val="00255B99"/>
    <w:rsid w:val="00284017"/>
    <w:rsid w:val="002B211A"/>
    <w:rsid w:val="002B5297"/>
    <w:rsid w:val="002D0CA5"/>
    <w:rsid w:val="00325D4B"/>
    <w:rsid w:val="00330101"/>
    <w:rsid w:val="00335A2D"/>
    <w:rsid w:val="003377B1"/>
    <w:rsid w:val="00346DC1"/>
    <w:rsid w:val="00354E7A"/>
    <w:rsid w:val="00382A09"/>
    <w:rsid w:val="003B743B"/>
    <w:rsid w:val="003C07C6"/>
    <w:rsid w:val="003D5549"/>
    <w:rsid w:val="00416D7F"/>
    <w:rsid w:val="0042435E"/>
    <w:rsid w:val="004729E7"/>
    <w:rsid w:val="0049708C"/>
    <w:rsid w:val="004A261D"/>
    <w:rsid w:val="004A2E61"/>
    <w:rsid w:val="004C1DB7"/>
    <w:rsid w:val="004C253F"/>
    <w:rsid w:val="004D4C44"/>
    <w:rsid w:val="0054087D"/>
    <w:rsid w:val="00556377"/>
    <w:rsid w:val="00581EDF"/>
    <w:rsid w:val="00593BF2"/>
    <w:rsid w:val="005F2BD2"/>
    <w:rsid w:val="00603A74"/>
    <w:rsid w:val="00606450"/>
    <w:rsid w:val="00633DD7"/>
    <w:rsid w:val="00634B83"/>
    <w:rsid w:val="00635F2D"/>
    <w:rsid w:val="00651B7F"/>
    <w:rsid w:val="00681D7E"/>
    <w:rsid w:val="006854D0"/>
    <w:rsid w:val="006B1108"/>
    <w:rsid w:val="006D21F1"/>
    <w:rsid w:val="00704AD7"/>
    <w:rsid w:val="007263C7"/>
    <w:rsid w:val="007451C4"/>
    <w:rsid w:val="007566DE"/>
    <w:rsid w:val="00767850"/>
    <w:rsid w:val="007B2116"/>
    <w:rsid w:val="007C07E6"/>
    <w:rsid w:val="007C1625"/>
    <w:rsid w:val="007F62C5"/>
    <w:rsid w:val="00804CDD"/>
    <w:rsid w:val="008112A7"/>
    <w:rsid w:val="00817213"/>
    <w:rsid w:val="008403A7"/>
    <w:rsid w:val="00856BA1"/>
    <w:rsid w:val="00857F76"/>
    <w:rsid w:val="00865172"/>
    <w:rsid w:val="00884B2F"/>
    <w:rsid w:val="008A3E2D"/>
    <w:rsid w:val="008B6D18"/>
    <w:rsid w:val="009013ED"/>
    <w:rsid w:val="00903867"/>
    <w:rsid w:val="00911EC0"/>
    <w:rsid w:val="0091495F"/>
    <w:rsid w:val="00917675"/>
    <w:rsid w:val="00922460"/>
    <w:rsid w:val="0094398E"/>
    <w:rsid w:val="00970927"/>
    <w:rsid w:val="00971B72"/>
    <w:rsid w:val="00984C16"/>
    <w:rsid w:val="00A366CA"/>
    <w:rsid w:val="00A45FD8"/>
    <w:rsid w:val="00A51E20"/>
    <w:rsid w:val="00AB7DAA"/>
    <w:rsid w:val="00AC0CC2"/>
    <w:rsid w:val="00AE3F98"/>
    <w:rsid w:val="00B32033"/>
    <w:rsid w:val="00B668C1"/>
    <w:rsid w:val="00B72008"/>
    <w:rsid w:val="00B81E41"/>
    <w:rsid w:val="00B86CBC"/>
    <w:rsid w:val="00B9249B"/>
    <w:rsid w:val="00B97F93"/>
    <w:rsid w:val="00BB5B60"/>
    <w:rsid w:val="00BE6DF3"/>
    <w:rsid w:val="00C078ED"/>
    <w:rsid w:val="00C1731A"/>
    <w:rsid w:val="00C47D7E"/>
    <w:rsid w:val="00C67B39"/>
    <w:rsid w:val="00C76AD1"/>
    <w:rsid w:val="00CD54BF"/>
    <w:rsid w:val="00CE268C"/>
    <w:rsid w:val="00D1561A"/>
    <w:rsid w:val="00D434B8"/>
    <w:rsid w:val="00D75324"/>
    <w:rsid w:val="00D80F86"/>
    <w:rsid w:val="00DD1B35"/>
    <w:rsid w:val="00DE1E79"/>
    <w:rsid w:val="00E46838"/>
    <w:rsid w:val="00EA14BC"/>
    <w:rsid w:val="00EC38D0"/>
    <w:rsid w:val="00EC77CA"/>
    <w:rsid w:val="00ED590E"/>
    <w:rsid w:val="00EF2A4F"/>
    <w:rsid w:val="00F328F1"/>
    <w:rsid w:val="00F73145"/>
    <w:rsid w:val="00F84DE5"/>
    <w:rsid w:val="00FC3A07"/>
    <w:rsid w:val="00FF1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A11"/>
  <w15:chartTrackingRefBased/>
  <w15:docId w15:val="{20CDCDD6-C936-47A1-ABE6-3A043A94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E61"/>
    <w:rPr>
      <w:rFonts w:eastAsiaTheme="majorEastAsia" w:cstheme="majorBidi"/>
      <w:color w:val="272727" w:themeColor="text1" w:themeTint="D8"/>
    </w:rPr>
  </w:style>
  <w:style w:type="paragraph" w:styleId="Title">
    <w:name w:val="Title"/>
    <w:basedOn w:val="Normal"/>
    <w:next w:val="Normal"/>
    <w:link w:val="TitleChar"/>
    <w:uiPriority w:val="10"/>
    <w:qFormat/>
    <w:rsid w:val="004A2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E61"/>
    <w:pPr>
      <w:spacing w:before="160"/>
      <w:jc w:val="center"/>
    </w:pPr>
    <w:rPr>
      <w:i/>
      <w:iCs/>
      <w:color w:val="404040" w:themeColor="text1" w:themeTint="BF"/>
    </w:rPr>
  </w:style>
  <w:style w:type="character" w:customStyle="1" w:styleId="QuoteChar">
    <w:name w:val="Quote Char"/>
    <w:basedOn w:val="DefaultParagraphFont"/>
    <w:link w:val="Quote"/>
    <w:uiPriority w:val="29"/>
    <w:rsid w:val="004A2E61"/>
    <w:rPr>
      <w:i/>
      <w:iCs/>
      <w:color w:val="404040" w:themeColor="text1" w:themeTint="BF"/>
    </w:rPr>
  </w:style>
  <w:style w:type="paragraph" w:styleId="ListParagraph">
    <w:name w:val="List Paragraph"/>
    <w:basedOn w:val="Normal"/>
    <w:uiPriority w:val="34"/>
    <w:qFormat/>
    <w:rsid w:val="004A2E61"/>
    <w:pPr>
      <w:ind w:left="720"/>
      <w:contextualSpacing/>
    </w:pPr>
  </w:style>
  <w:style w:type="character" w:styleId="IntenseEmphasis">
    <w:name w:val="Intense Emphasis"/>
    <w:basedOn w:val="DefaultParagraphFont"/>
    <w:uiPriority w:val="21"/>
    <w:qFormat/>
    <w:rsid w:val="004A2E61"/>
    <w:rPr>
      <w:i/>
      <w:iCs/>
      <w:color w:val="0F4761" w:themeColor="accent1" w:themeShade="BF"/>
    </w:rPr>
  </w:style>
  <w:style w:type="paragraph" w:styleId="IntenseQuote">
    <w:name w:val="Intense Quote"/>
    <w:basedOn w:val="Normal"/>
    <w:next w:val="Normal"/>
    <w:link w:val="IntenseQuoteChar"/>
    <w:uiPriority w:val="30"/>
    <w:qFormat/>
    <w:rsid w:val="004A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E61"/>
    <w:rPr>
      <w:i/>
      <w:iCs/>
      <w:color w:val="0F4761" w:themeColor="accent1" w:themeShade="BF"/>
    </w:rPr>
  </w:style>
  <w:style w:type="character" w:styleId="IntenseReference">
    <w:name w:val="Intense Reference"/>
    <w:basedOn w:val="DefaultParagraphFont"/>
    <w:uiPriority w:val="32"/>
    <w:qFormat/>
    <w:rsid w:val="004A2E61"/>
    <w:rPr>
      <w:b/>
      <w:bCs/>
      <w:smallCaps/>
      <w:color w:val="0F4761" w:themeColor="accent1" w:themeShade="BF"/>
      <w:spacing w:val="5"/>
    </w:rPr>
  </w:style>
  <w:style w:type="paragraph" w:styleId="Header">
    <w:name w:val="header"/>
    <w:basedOn w:val="Normal"/>
    <w:link w:val="HeaderChar"/>
    <w:uiPriority w:val="99"/>
    <w:unhideWhenUsed/>
    <w:rsid w:val="004A2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E61"/>
  </w:style>
  <w:style w:type="paragraph" w:styleId="Footer">
    <w:name w:val="footer"/>
    <w:basedOn w:val="Normal"/>
    <w:link w:val="FooterChar"/>
    <w:uiPriority w:val="99"/>
    <w:unhideWhenUsed/>
    <w:rsid w:val="004A2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E61"/>
  </w:style>
  <w:style w:type="character" w:styleId="Hyperlink">
    <w:name w:val="Hyperlink"/>
    <w:basedOn w:val="DefaultParagraphFont"/>
    <w:uiPriority w:val="99"/>
    <w:unhideWhenUsed/>
    <w:rsid w:val="0042435E"/>
    <w:rPr>
      <w:color w:val="467886" w:themeColor="hyperlink"/>
      <w:u w:val="single"/>
    </w:rPr>
  </w:style>
  <w:style w:type="character" w:styleId="UnresolvedMention">
    <w:name w:val="Unresolved Mention"/>
    <w:basedOn w:val="DefaultParagraphFont"/>
    <w:uiPriority w:val="99"/>
    <w:semiHidden/>
    <w:unhideWhenUsed/>
    <w:rsid w:val="0042435E"/>
    <w:rPr>
      <w:color w:val="605E5C"/>
      <w:shd w:val="clear" w:color="auto" w:fill="E1DFDD"/>
    </w:rPr>
  </w:style>
  <w:style w:type="paragraph" w:styleId="Caption">
    <w:name w:val="caption"/>
    <w:basedOn w:val="Normal"/>
    <w:next w:val="Normal"/>
    <w:uiPriority w:val="35"/>
    <w:unhideWhenUsed/>
    <w:qFormat/>
    <w:rsid w:val="00C078ED"/>
    <w:pPr>
      <w:spacing w:after="200" w:line="240" w:lineRule="auto"/>
    </w:pPr>
    <w:rPr>
      <w:i/>
      <w:iCs/>
      <w:color w:val="0E2841" w:themeColor="text2"/>
      <w:sz w:val="18"/>
      <w:szCs w:val="18"/>
    </w:rPr>
  </w:style>
  <w:style w:type="table" w:styleId="GridTable4-Accent1">
    <w:name w:val="Grid Table 4 Accent 1"/>
    <w:basedOn w:val="TableNormal"/>
    <w:uiPriority w:val="49"/>
    <w:rsid w:val="0017017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17017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918">
      <w:bodyDiv w:val="1"/>
      <w:marLeft w:val="0"/>
      <w:marRight w:val="0"/>
      <w:marTop w:val="0"/>
      <w:marBottom w:val="0"/>
      <w:divBdr>
        <w:top w:val="none" w:sz="0" w:space="0" w:color="auto"/>
        <w:left w:val="none" w:sz="0" w:space="0" w:color="auto"/>
        <w:bottom w:val="none" w:sz="0" w:space="0" w:color="auto"/>
        <w:right w:val="none" w:sz="0" w:space="0" w:color="auto"/>
      </w:divBdr>
    </w:div>
    <w:div w:id="46995859">
      <w:bodyDiv w:val="1"/>
      <w:marLeft w:val="0"/>
      <w:marRight w:val="0"/>
      <w:marTop w:val="0"/>
      <w:marBottom w:val="0"/>
      <w:divBdr>
        <w:top w:val="none" w:sz="0" w:space="0" w:color="auto"/>
        <w:left w:val="none" w:sz="0" w:space="0" w:color="auto"/>
        <w:bottom w:val="none" w:sz="0" w:space="0" w:color="auto"/>
        <w:right w:val="none" w:sz="0" w:space="0" w:color="auto"/>
      </w:divBdr>
    </w:div>
    <w:div w:id="116799782">
      <w:bodyDiv w:val="1"/>
      <w:marLeft w:val="0"/>
      <w:marRight w:val="0"/>
      <w:marTop w:val="0"/>
      <w:marBottom w:val="0"/>
      <w:divBdr>
        <w:top w:val="none" w:sz="0" w:space="0" w:color="auto"/>
        <w:left w:val="none" w:sz="0" w:space="0" w:color="auto"/>
        <w:bottom w:val="none" w:sz="0" w:space="0" w:color="auto"/>
        <w:right w:val="none" w:sz="0" w:space="0" w:color="auto"/>
      </w:divBdr>
    </w:div>
    <w:div w:id="154614969">
      <w:bodyDiv w:val="1"/>
      <w:marLeft w:val="0"/>
      <w:marRight w:val="0"/>
      <w:marTop w:val="0"/>
      <w:marBottom w:val="0"/>
      <w:divBdr>
        <w:top w:val="none" w:sz="0" w:space="0" w:color="auto"/>
        <w:left w:val="none" w:sz="0" w:space="0" w:color="auto"/>
        <w:bottom w:val="none" w:sz="0" w:space="0" w:color="auto"/>
        <w:right w:val="none" w:sz="0" w:space="0" w:color="auto"/>
      </w:divBdr>
    </w:div>
    <w:div w:id="214588708">
      <w:bodyDiv w:val="1"/>
      <w:marLeft w:val="0"/>
      <w:marRight w:val="0"/>
      <w:marTop w:val="0"/>
      <w:marBottom w:val="0"/>
      <w:divBdr>
        <w:top w:val="none" w:sz="0" w:space="0" w:color="auto"/>
        <w:left w:val="none" w:sz="0" w:space="0" w:color="auto"/>
        <w:bottom w:val="none" w:sz="0" w:space="0" w:color="auto"/>
        <w:right w:val="none" w:sz="0" w:space="0" w:color="auto"/>
      </w:divBdr>
    </w:div>
    <w:div w:id="433598297">
      <w:bodyDiv w:val="1"/>
      <w:marLeft w:val="0"/>
      <w:marRight w:val="0"/>
      <w:marTop w:val="0"/>
      <w:marBottom w:val="0"/>
      <w:divBdr>
        <w:top w:val="none" w:sz="0" w:space="0" w:color="auto"/>
        <w:left w:val="none" w:sz="0" w:space="0" w:color="auto"/>
        <w:bottom w:val="none" w:sz="0" w:space="0" w:color="auto"/>
        <w:right w:val="none" w:sz="0" w:space="0" w:color="auto"/>
      </w:divBdr>
    </w:div>
    <w:div w:id="513348612">
      <w:bodyDiv w:val="1"/>
      <w:marLeft w:val="0"/>
      <w:marRight w:val="0"/>
      <w:marTop w:val="0"/>
      <w:marBottom w:val="0"/>
      <w:divBdr>
        <w:top w:val="none" w:sz="0" w:space="0" w:color="auto"/>
        <w:left w:val="none" w:sz="0" w:space="0" w:color="auto"/>
        <w:bottom w:val="none" w:sz="0" w:space="0" w:color="auto"/>
        <w:right w:val="none" w:sz="0" w:space="0" w:color="auto"/>
      </w:divBdr>
    </w:div>
    <w:div w:id="665399480">
      <w:bodyDiv w:val="1"/>
      <w:marLeft w:val="0"/>
      <w:marRight w:val="0"/>
      <w:marTop w:val="0"/>
      <w:marBottom w:val="0"/>
      <w:divBdr>
        <w:top w:val="none" w:sz="0" w:space="0" w:color="auto"/>
        <w:left w:val="none" w:sz="0" w:space="0" w:color="auto"/>
        <w:bottom w:val="none" w:sz="0" w:space="0" w:color="auto"/>
        <w:right w:val="none" w:sz="0" w:space="0" w:color="auto"/>
      </w:divBdr>
    </w:div>
    <w:div w:id="681203256">
      <w:bodyDiv w:val="1"/>
      <w:marLeft w:val="0"/>
      <w:marRight w:val="0"/>
      <w:marTop w:val="0"/>
      <w:marBottom w:val="0"/>
      <w:divBdr>
        <w:top w:val="none" w:sz="0" w:space="0" w:color="auto"/>
        <w:left w:val="none" w:sz="0" w:space="0" w:color="auto"/>
        <w:bottom w:val="none" w:sz="0" w:space="0" w:color="auto"/>
        <w:right w:val="none" w:sz="0" w:space="0" w:color="auto"/>
      </w:divBdr>
    </w:div>
    <w:div w:id="766197067">
      <w:bodyDiv w:val="1"/>
      <w:marLeft w:val="0"/>
      <w:marRight w:val="0"/>
      <w:marTop w:val="0"/>
      <w:marBottom w:val="0"/>
      <w:divBdr>
        <w:top w:val="none" w:sz="0" w:space="0" w:color="auto"/>
        <w:left w:val="none" w:sz="0" w:space="0" w:color="auto"/>
        <w:bottom w:val="none" w:sz="0" w:space="0" w:color="auto"/>
        <w:right w:val="none" w:sz="0" w:space="0" w:color="auto"/>
      </w:divBdr>
    </w:div>
    <w:div w:id="958948824">
      <w:bodyDiv w:val="1"/>
      <w:marLeft w:val="0"/>
      <w:marRight w:val="0"/>
      <w:marTop w:val="0"/>
      <w:marBottom w:val="0"/>
      <w:divBdr>
        <w:top w:val="none" w:sz="0" w:space="0" w:color="auto"/>
        <w:left w:val="none" w:sz="0" w:space="0" w:color="auto"/>
        <w:bottom w:val="none" w:sz="0" w:space="0" w:color="auto"/>
        <w:right w:val="none" w:sz="0" w:space="0" w:color="auto"/>
      </w:divBdr>
    </w:div>
    <w:div w:id="1342781249">
      <w:bodyDiv w:val="1"/>
      <w:marLeft w:val="0"/>
      <w:marRight w:val="0"/>
      <w:marTop w:val="0"/>
      <w:marBottom w:val="0"/>
      <w:divBdr>
        <w:top w:val="none" w:sz="0" w:space="0" w:color="auto"/>
        <w:left w:val="none" w:sz="0" w:space="0" w:color="auto"/>
        <w:bottom w:val="none" w:sz="0" w:space="0" w:color="auto"/>
        <w:right w:val="none" w:sz="0" w:space="0" w:color="auto"/>
      </w:divBdr>
    </w:div>
    <w:div w:id="1356618398">
      <w:bodyDiv w:val="1"/>
      <w:marLeft w:val="0"/>
      <w:marRight w:val="0"/>
      <w:marTop w:val="0"/>
      <w:marBottom w:val="0"/>
      <w:divBdr>
        <w:top w:val="none" w:sz="0" w:space="0" w:color="auto"/>
        <w:left w:val="none" w:sz="0" w:space="0" w:color="auto"/>
        <w:bottom w:val="none" w:sz="0" w:space="0" w:color="auto"/>
        <w:right w:val="none" w:sz="0" w:space="0" w:color="auto"/>
      </w:divBdr>
    </w:div>
    <w:div w:id="1384257059">
      <w:bodyDiv w:val="1"/>
      <w:marLeft w:val="0"/>
      <w:marRight w:val="0"/>
      <w:marTop w:val="0"/>
      <w:marBottom w:val="0"/>
      <w:divBdr>
        <w:top w:val="none" w:sz="0" w:space="0" w:color="auto"/>
        <w:left w:val="none" w:sz="0" w:space="0" w:color="auto"/>
        <w:bottom w:val="none" w:sz="0" w:space="0" w:color="auto"/>
        <w:right w:val="none" w:sz="0" w:space="0" w:color="auto"/>
      </w:divBdr>
    </w:div>
    <w:div w:id="1422217817">
      <w:bodyDiv w:val="1"/>
      <w:marLeft w:val="0"/>
      <w:marRight w:val="0"/>
      <w:marTop w:val="0"/>
      <w:marBottom w:val="0"/>
      <w:divBdr>
        <w:top w:val="none" w:sz="0" w:space="0" w:color="auto"/>
        <w:left w:val="none" w:sz="0" w:space="0" w:color="auto"/>
        <w:bottom w:val="none" w:sz="0" w:space="0" w:color="auto"/>
        <w:right w:val="none" w:sz="0" w:space="0" w:color="auto"/>
      </w:divBdr>
    </w:div>
    <w:div w:id="1790320982">
      <w:bodyDiv w:val="1"/>
      <w:marLeft w:val="0"/>
      <w:marRight w:val="0"/>
      <w:marTop w:val="0"/>
      <w:marBottom w:val="0"/>
      <w:divBdr>
        <w:top w:val="none" w:sz="0" w:space="0" w:color="auto"/>
        <w:left w:val="none" w:sz="0" w:space="0" w:color="auto"/>
        <w:bottom w:val="none" w:sz="0" w:space="0" w:color="auto"/>
        <w:right w:val="none" w:sz="0" w:space="0" w:color="auto"/>
      </w:divBdr>
    </w:div>
    <w:div w:id="2073232177">
      <w:bodyDiv w:val="1"/>
      <w:marLeft w:val="0"/>
      <w:marRight w:val="0"/>
      <w:marTop w:val="0"/>
      <w:marBottom w:val="0"/>
      <w:divBdr>
        <w:top w:val="none" w:sz="0" w:space="0" w:color="auto"/>
        <w:left w:val="none" w:sz="0" w:space="0" w:color="auto"/>
        <w:bottom w:val="none" w:sz="0" w:space="0" w:color="auto"/>
        <w:right w:val="none" w:sz="0" w:space="0" w:color="auto"/>
      </w:divBdr>
    </w:div>
    <w:div w:id="20977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9503-452A-4F1C-99DC-10815399ECF6}">
  <ds:schemaRefs>
    <ds:schemaRef ds:uri="http://schemas.openxmlformats.org/officeDocument/2006/bibliography"/>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6</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Elizabeth Clare (BIRMINGHAM WOMEN'S AND CHILDREN'S NHS FOUNDATION TRUST)</dc:creator>
  <cp:keywords/>
  <dc:description/>
  <cp:lastModifiedBy>AMIR, Mishaal (BIRMINGHAM WOMEN'S AND CHILDREN'S NHS FOUNDATION TRUST)</cp:lastModifiedBy>
  <cp:revision>4</cp:revision>
  <dcterms:created xsi:type="dcterms:W3CDTF">2025-05-30T14:59:00Z</dcterms:created>
  <dcterms:modified xsi:type="dcterms:W3CDTF">2025-06-03T15:30:00Z</dcterms:modified>
</cp:coreProperties>
</file>