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FAE34" w14:textId="07A9B60B" w:rsidR="003B743B" w:rsidRDefault="003B743B" w:rsidP="003B743B">
      <w:pPr>
        <w:pStyle w:val="Title"/>
      </w:pPr>
      <w:r w:rsidRPr="004A2E61">
        <w:t xml:space="preserve">Digital Health Tools </w:t>
      </w:r>
      <w:r>
        <w:t>&amp;</w:t>
      </w:r>
      <w:r w:rsidRPr="004A2E61">
        <w:t xml:space="preserve"> Clinical Decision Making</w:t>
      </w:r>
      <w:r>
        <w:t xml:space="preserve"> </w:t>
      </w:r>
    </w:p>
    <w:p w14:paraId="1B0AD5D9" w14:textId="5B02B036" w:rsidR="0009123B" w:rsidRPr="0009123B" w:rsidRDefault="003B743B" w:rsidP="0009123B">
      <w:pPr>
        <w:pStyle w:val="Subtitle"/>
      </w:pPr>
      <w:r w:rsidRPr="003B743B">
        <w:rPr>
          <w:b/>
          <w:bCs/>
        </w:rPr>
        <w:t>TA</w:t>
      </w:r>
      <w:r w:rsidR="0009123B">
        <w:rPr>
          <w:b/>
          <w:bCs/>
        </w:rPr>
        <w:t>5</w:t>
      </w:r>
      <w:r w:rsidRPr="003B743B">
        <w:rPr>
          <w:b/>
          <w:bCs/>
        </w:rPr>
        <w:t>:</w:t>
      </w:r>
      <w:r>
        <w:t xml:space="preserve"> </w:t>
      </w:r>
      <w:r w:rsidR="0009123B" w:rsidRPr="0009123B">
        <w:t>Appraise the regulations concerning the collection and ownership of data in digital health tools used by patients and clinicians</w:t>
      </w:r>
    </w:p>
    <w:p w14:paraId="21EF2CD8" w14:textId="47566900" w:rsidR="00FF66E6" w:rsidRDefault="00FF66E6" w:rsidP="00766885">
      <w:pPr>
        <w:pStyle w:val="Heading2"/>
      </w:pPr>
      <w:r>
        <w:t>Activity</w:t>
      </w:r>
    </w:p>
    <w:p w14:paraId="1D24A0FB" w14:textId="2382DFC5" w:rsidR="007B43D6" w:rsidRDefault="007B43D6" w:rsidP="003820C3">
      <w:pPr>
        <w:pStyle w:val="Heading3"/>
      </w:pPr>
      <w:r>
        <w:t>Part 1 – background information</w:t>
      </w:r>
    </w:p>
    <w:p w14:paraId="23F3AD7C" w14:textId="3FAC220E" w:rsidR="007B43D6" w:rsidRPr="007B43D6" w:rsidRDefault="00EF5792" w:rsidP="007B43D6">
      <w:pPr>
        <w:pStyle w:val="ListParagraph"/>
        <w:numPr>
          <w:ilvl w:val="0"/>
          <w:numId w:val="3"/>
        </w:numPr>
      </w:pPr>
      <w:r>
        <w:t xml:space="preserve">Summarise the regulations </w:t>
      </w:r>
      <w:r w:rsidR="00547141" w:rsidRPr="0009123B">
        <w:t>concerning the collection and ownership of data in digital health tools used by patients and clinicians</w:t>
      </w:r>
      <w:r w:rsidR="00547141">
        <w:t xml:space="preserve"> </w:t>
      </w:r>
      <w:r w:rsidR="00547141" w:rsidRPr="00547141">
        <w:rPr>
          <w:i/>
          <w:iCs/>
        </w:rPr>
        <w:t>(- feel free to expand this table if required)</w:t>
      </w:r>
      <w:r w:rsidR="00547141">
        <w:rPr>
          <w:i/>
          <w:iCs/>
        </w:rPr>
        <w:t>.</w:t>
      </w:r>
    </w:p>
    <w:tbl>
      <w:tblPr>
        <w:tblW w:w="899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9"/>
        <w:gridCol w:w="6317"/>
      </w:tblGrid>
      <w:tr w:rsidR="00FF66E6" w:rsidRPr="00167698" w14:paraId="535682D7" w14:textId="77777777" w:rsidTr="00407726">
        <w:trPr>
          <w:trHeight w:val="300"/>
        </w:trPr>
        <w:tc>
          <w:tcPr>
            <w:tcW w:w="8996" w:type="dxa"/>
            <w:gridSpan w:val="2"/>
            <w:tcBorders>
              <w:top w:val="single" w:sz="12" w:space="0" w:color="000000"/>
              <w:left w:val="single" w:sz="12" w:space="0" w:color="000000"/>
              <w:bottom w:val="single" w:sz="6" w:space="0" w:color="000000"/>
              <w:right w:val="single" w:sz="12" w:space="0" w:color="000000"/>
            </w:tcBorders>
            <w:shd w:val="clear" w:color="auto" w:fill="EDEDED"/>
            <w:hideMark/>
          </w:tcPr>
          <w:p w14:paraId="02A371EF" w14:textId="20FEEAA2" w:rsidR="00FF66E6" w:rsidRPr="00167698" w:rsidRDefault="00FF66E6" w:rsidP="00407726">
            <w:r w:rsidRPr="00167698">
              <w:rPr>
                <w:b/>
                <w:bCs/>
              </w:rPr>
              <w:t xml:space="preserve">Part </w:t>
            </w:r>
            <w:r>
              <w:rPr>
                <w:b/>
                <w:bCs/>
              </w:rPr>
              <w:t>A</w:t>
            </w:r>
            <w:r w:rsidRPr="00167698">
              <w:rPr>
                <w:b/>
                <w:bCs/>
              </w:rPr>
              <w:t>:</w:t>
            </w:r>
            <w:r w:rsidRPr="00167698">
              <w:t xml:space="preserve"> P</w:t>
            </w:r>
            <w:r>
              <w:t>lease answer the following questions</w:t>
            </w:r>
          </w:p>
        </w:tc>
      </w:tr>
      <w:tr w:rsidR="00FF66E6" w:rsidRPr="00167698" w14:paraId="7DC33B43"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38E6419C" w14:textId="45CC5E56" w:rsidR="00FF66E6" w:rsidRPr="0091495F" w:rsidRDefault="00FF66E6" w:rsidP="00407726">
            <w:pPr>
              <w:rPr>
                <w:b/>
                <w:bCs/>
              </w:rPr>
            </w:pPr>
            <w:r>
              <w:rPr>
                <w:b/>
                <w:bCs/>
              </w:rPr>
              <w:t>What is patient consent</w:t>
            </w:r>
            <w:r w:rsidRPr="0091495F">
              <w:rPr>
                <w:b/>
                <w:bCs/>
              </w:rPr>
              <w:t> </w:t>
            </w:r>
            <w:r>
              <w:rPr>
                <w:b/>
                <w:bCs/>
              </w:rPr>
              <w:t>and why is it important?</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746FBD6F" w14:textId="48179E87" w:rsidR="00FF66E6" w:rsidRPr="00167698" w:rsidRDefault="00EF23DD" w:rsidP="00407726">
            <w:pPr>
              <w:spacing w:after="0"/>
            </w:pPr>
            <w:r w:rsidRPr="00EF23DD">
              <w:t>Patient consent means the patient agrees to their information being used. It's important because it respects the patient's rights and keeps trust between them and the healthcare team.</w:t>
            </w:r>
          </w:p>
        </w:tc>
      </w:tr>
      <w:tr w:rsidR="00C75DF4" w:rsidRPr="00167698" w14:paraId="0B00F5B4"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645C7B4" w14:textId="566346F9" w:rsidR="00C75DF4" w:rsidRDefault="00C75DF4" w:rsidP="00407726">
            <w:pPr>
              <w:rPr>
                <w:b/>
                <w:bCs/>
              </w:rPr>
            </w:pPr>
            <w:r>
              <w:rPr>
                <w:b/>
                <w:bCs/>
              </w:rPr>
              <w:t>What is confidentiality and why is it important?</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7E0B1A68" w14:textId="00E90187" w:rsidR="00C75DF4" w:rsidRPr="00167698" w:rsidRDefault="00EF23DD" w:rsidP="00407726">
            <w:pPr>
              <w:spacing w:after="0"/>
            </w:pPr>
            <w:r w:rsidRPr="00EF23DD">
              <w:t>Confidentiality means keeping patient information private. It's important so patients feel safe sharing personal info, which helps them get better care.</w:t>
            </w:r>
          </w:p>
        </w:tc>
      </w:tr>
      <w:tr w:rsidR="00C75DF4" w:rsidRPr="00167698" w14:paraId="3974B71F"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161412E" w14:textId="528AE1A3" w:rsidR="00C75DF4" w:rsidRDefault="00C75DF4" w:rsidP="00407726">
            <w:pPr>
              <w:rPr>
                <w:b/>
                <w:bCs/>
              </w:rPr>
            </w:pPr>
            <w:r>
              <w:rPr>
                <w:b/>
                <w:bCs/>
              </w:rPr>
              <w:t>What are the Caldicott principles are why were they written?</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0B0E2A2D" w14:textId="1A0D73E7" w:rsidR="00C75DF4" w:rsidRPr="00167698" w:rsidRDefault="00EF23DD" w:rsidP="00407726">
            <w:pPr>
              <w:spacing w:after="0"/>
            </w:pPr>
            <w:r w:rsidRPr="00EF23DD">
              <w:t>These are 7 rules to make sure patient data is only shared when needed and used properly. They were made to protect privacy and keep data safe in health and care services.</w:t>
            </w:r>
          </w:p>
        </w:tc>
      </w:tr>
      <w:tr w:rsidR="00C75DF4" w:rsidRPr="00167698" w14:paraId="383DDE6B"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D2F6DEC" w14:textId="3CBA55B3" w:rsidR="00C75DF4" w:rsidRDefault="00C75DF4" w:rsidP="00407726">
            <w:pPr>
              <w:rPr>
                <w:b/>
                <w:bCs/>
              </w:rPr>
            </w:pPr>
            <w:r>
              <w:rPr>
                <w:b/>
                <w:bCs/>
              </w:rPr>
              <w:t>What is IG and why is it important?</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4F98E960" w14:textId="365B8541" w:rsidR="00C75DF4" w:rsidRPr="00167698" w:rsidRDefault="00EF23DD" w:rsidP="00407726">
            <w:pPr>
              <w:spacing w:after="0"/>
            </w:pPr>
            <w:r w:rsidRPr="00EF23DD">
              <w:t>IG is the way organisations make sure they collect, store, and share data safely and legally. It’s important to protect patients and keep trust in the healthcare system.</w:t>
            </w:r>
          </w:p>
        </w:tc>
      </w:tr>
      <w:tr w:rsidR="00393A48" w:rsidRPr="00167698" w14:paraId="0E8CF99D"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2388F0C" w14:textId="3D4D7A4E" w:rsidR="00393A48" w:rsidRDefault="00393A48" w:rsidP="00407726">
            <w:pPr>
              <w:rPr>
                <w:b/>
                <w:bCs/>
              </w:rPr>
            </w:pPr>
            <w:r>
              <w:rPr>
                <w:b/>
                <w:bCs/>
              </w:rPr>
              <w:t>What is a DPIA and why are they important?</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0ED4A364" w14:textId="704538C1" w:rsidR="00393A48" w:rsidRPr="00167698" w:rsidRDefault="00EF23DD" w:rsidP="00407726">
            <w:pPr>
              <w:spacing w:after="0"/>
            </w:pPr>
            <w:r w:rsidRPr="00EF23DD">
              <w:t xml:space="preserve">A DPIA checks if a new project or tool could harm people’s privacy. It helps find and fix risks </w:t>
            </w:r>
            <w:r w:rsidR="00A33CB4" w:rsidRPr="00EF23DD">
              <w:t>early,</w:t>
            </w:r>
            <w:r w:rsidRPr="00EF23DD">
              <w:t xml:space="preserve"> so patient data stays safe.</w:t>
            </w:r>
          </w:p>
        </w:tc>
      </w:tr>
      <w:tr w:rsidR="00FF66E6" w:rsidRPr="00167698" w14:paraId="0323E4E5"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45C587EE" w14:textId="2A511BCA" w:rsidR="00FF66E6" w:rsidRPr="0091495F" w:rsidRDefault="00FF66E6" w:rsidP="00407726">
            <w:pPr>
              <w:rPr>
                <w:b/>
                <w:bCs/>
              </w:rPr>
            </w:pPr>
            <w:r>
              <w:rPr>
                <w:b/>
                <w:bCs/>
              </w:rPr>
              <w:t>What is GDPR and why is it of relevance in healthcare?</w:t>
            </w:r>
            <w:r w:rsidRPr="0091495F">
              <w:rPr>
                <w:b/>
                <w:bCs/>
              </w:rPr>
              <w:t> </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45FC826A" w14:textId="0CF7F427" w:rsidR="00FF66E6" w:rsidRPr="00167698" w:rsidRDefault="00EF23DD" w:rsidP="00407726">
            <w:pPr>
              <w:spacing w:after="0"/>
            </w:pPr>
            <w:r w:rsidRPr="00EF23DD">
              <w:t>GDPR is a law that controls how personal data is used. In healthcare, it makes sure patient information is handled fairly, safely</w:t>
            </w:r>
            <w:r w:rsidR="00A33CB4">
              <w:t xml:space="preserve"> </w:t>
            </w:r>
            <w:r w:rsidRPr="00EF23DD">
              <w:t>and only when really needed.</w:t>
            </w:r>
          </w:p>
        </w:tc>
      </w:tr>
      <w:tr w:rsidR="00FF66E6" w:rsidRPr="00167698" w14:paraId="353CAB19" w14:textId="77777777" w:rsidTr="00E11CDB">
        <w:trPr>
          <w:trHeight w:val="300"/>
        </w:trPr>
        <w:tc>
          <w:tcPr>
            <w:tcW w:w="2679" w:type="dxa"/>
            <w:tcBorders>
              <w:top w:val="single" w:sz="6" w:space="0" w:color="000000"/>
              <w:left w:val="single" w:sz="12" w:space="0" w:color="000000"/>
              <w:bottom w:val="single" w:sz="18" w:space="0" w:color="auto"/>
              <w:right w:val="single" w:sz="6" w:space="0" w:color="000000"/>
            </w:tcBorders>
            <w:shd w:val="clear" w:color="auto" w:fill="auto"/>
            <w:vAlign w:val="center"/>
          </w:tcPr>
          <w:p w14:paraId="1310C424" w14:textId="07A9C959" w:rsidR="00FF66E6" w:rsidRPr="0091495F" w:rsidRDefault="00E11CDB" w:rsidP="00407726">
            <w:pPr>
              <w:rPr>
                <w:b/>
                <w:bCs/>
              </w:rPr>
            </w:pPr>
            <w:r>
              <w:rPr>
                <w:b/>
                <w:bCs/>
              </w:rPr>
              <w:t>Who owns patient healthcare date and who has the right to access it?</w:t>
            </w:r>
            <w:r w:rsidR="00FF66E6" w:rsidRPr="0091495F">
              <w:rPr>
                <w:b/>
                <w:bCs/>
              </w:rPr>
              <w:t> </w:t>
            </w:r>
          </w:p>
        </w:tc>
        <w:tc>
          <w:tcPr>
            <w:tcW w:w="6317" w:type="dxa"/>
            <w:tcBorders>
              <w:top w:val="single" w:sz="6" w:space="0" w:color="000000"/>
              <w:left w:val="single" w:sz="6" w:space="0" w:color="000000"/>
              <w:bottom w:val="single" w:sz="18" w:space="0" w:color="auto"/>
              <w:right w:val="single" w:sz="12" w:space="0" w:color="000000"/>
            </w:tcBorders>
            <w:shd w:val="clear" w:color="auto" w:fill="auto"/>
          </w:tcPr>
          <w:p w14:paraId="05414D3C" w14:textId="3B285A97" w:rsidR="00FF66E6" w:rsidRPr="00167698" w:rsidRDefault="00EF23DD" w:rsidP="00407726">
            <w:pPr>
              <w:spacing w:after="0"/>
            </w:pPr>
            <w:r w:rsidRPr="00EF23DD">
              <w:t>The data belongs to the patient, but healthcare providers (like the NHS) hold it and are responsible for keeping it safe. Only people involved in care or</w:t>
            </w:r>
            <w:r>
              <w:t xml:space="preserve"> those</w:t>
            </w:r>
            <w:r w:rsidRPr="00EF23DD">
              <w:t xml:space="preserve"> with permission can access it.</w:t>
            </w:r>
          </w:p>
        </w:tc>
      </w:tr>
    </w:tbl>
    <w:p w14:paraId="6BD04369" w14:textId="77777777" w:rsidR="00E01B99" w:rsidRDefault="00E01B99" w:rsidP="00FF66E6"/>
    <w:p w14:paraId="6570B1BD" w14:textId="1C0A9DD1" w:rsidR="003820C3" w:rsidRDefault="003820C3" w:rsidP="003820C3">
      <w:pPr>
        <w:pStyle w:val="Heading3"/>
      </w:pPr>
      <w:r>
        <w:t>Part 2 – The local DPIA process.</w:t>
      </w:r>
    </w:p>
    <w:p w14:paraId="1B9BAF0D" w14:textId="77777777" w:rsidR="002B2834" w:rsidRDefault="002B2834" w:rsidP="002B2834">
      <w:pPr>
        <w:pStyle w:val="Heading4"/>
      </w:pPr>
      <w:r>
        <w:t>Useful Resources:</w:t>
      </w:r>
    </w:p>
    <w:p w14:paraId="3E974856" w14:textId="77777777" w:rsidR="002B2834" w:rsidRDefault="002B2834" w:rsidP="002B2834">
      <w:pPr>
        <w:pStyle w:val="ListParagraph"/>
        <w:numPr>
          <w:ilvl w:val="0"/>
          <w:numId w:val="5"/>
        </w:numPr>
      </w:pPr>
      <w:hyperlink r:id="rId7" w:history="1">
        <w:proofErr w:type="spellStart"/>
        <w:r w:rsidRPr="00822769">
          <w:rPr>
            <w:rStyle w:val="Hyperlink"/>
          </w:rPr>
          <w:t>RGU_Genetic_Laboratory</w:t>
        </w:r>
        <w:proofErr w:type="spellEnd"/>
        <w:r w:rsidRPr="00822769">
          <w:rPr>
            <w:rStyle w:val="Hyperlink"/>
          </w:rPr>
          <w:t xml:space="preserve"> - DPIA - All Documents</w:t>
        </w:r>
      </w:hyperlink>
    </w:p>
    <w:p w14:paraId="4CBED113" w14:textId="77777777" w:rsidR="002B2834" w:rsidRDefault="002B2834" w:rsidP="002B2834">
      <w:pPr>
        <w:pStyle w:val="ListParagraph"/>
        <w:numPr>
          <w:ilvl w:val="0"/>
          <w:numId w:val="5"/>
        </w:numPr>
      </w:pPr>
      <w:hyperlink r:id="rId8" w:history="1">
        <w:proofErr w:type="spellStart"/>
        <w:r w:rsidRPr="00933D41">
          <w:rPr>
            <w:rStyle w:val="Hyperlink"/>
          </w:rPr>
          <w:t>RGU_Genetic_Laboratory</w:t>
        </w:r>
        <w:proofErr w:type="spellEnd"/>
        <w:r w:rsidRPr="00933D41">
          <w:rPr>
            <w:rStyle w:val="Hyperlink"/>
          </w:rPr>
          <w:t xml:space="preserve"> - DPIA process, guides, templates - All Documents</w:t>
        </w:r>
      </w:hyperlink>
    </w:p>
    <w:p w14:paraId="4F67AAD5" w14:textId="77777777" w:rsidR="002B2834" w:rsidRDefault="002B2834" w:rsidP="002B2834">
      <w:pPr>
        <w:pStyle w:val="ListParagraph"/>
        <w:numPr>
          <w:ilvl w:val="0"/>
          <w:numId w:val="5"/>
        </w:numPr>
      </w:pPr>
      <w:r>
        <w:t>Existing DPIAs can be found on the change app/links above.</w:t>
      </w:r>
    </w:p>
    <w:p w14:paraId="05B24464" w14:textId="39F276BD" w:rsidR="00B94DB3" w:rsidRDefault="00B94DB3" w:rsidP="000D5C41">
      <w:pPr>
        <w:pStyle w:val="Heading4"/>
      </w:pPr>
      <w:r>
        <w:lastRenderedPageBreak/>
        <w:t>Write a</w:t>
      </w:r>
      <w:r w:rsidR="000D5C41">
        <w:t xml:space="preserve"> </w:t>
      </w:r>
      <w:r w:rsidR="00A50E8E">
        <w:t>short</w:t>
      </w:r>
      <w:r>
        <w:t xml:space="preserve"> SOP for the local DPIA process</w:t>
      </w:r>
    </w:p>
    <w:p w14:paraId="798B8F2E" w14:textId="03FC4FD3" w:rsidR="00A83D26" w:rsidRPr="00A83D26" w:rsidRDefault="00A83D26" w:rsidP="00A83D26">
      <w:r>
        <w:t>(i.e. summarise the local DPIA process)</w:t>
      </w:r>
      <w:r w:rsidR="00A16339">
        <w:t>.</w:t>
      </w:r>
    </w:p>
    <w:p w14:paraId="22F6586B" w14:textId="2D598861" w:rsidR="00B94DB3" w:rsidRDefault="00B94DB3" w:rsidP="00B94DB3">
      <w:pPr>
        <w:pStyle w:val="ListParagraph"/>
        <w:numPr>
          <w:ilvl w:val="0"/>
          <w:numId w:val="4"/>
        </w:numPr>
      </w:pPr>
      <w:r>
        <w:t xml:space="preserve">Include a Flow chart for local DPIA procedure </w:t>
      </w:r>
      <w:r w:rsidR="000D5C41">
        <w:t xml:space="preserve">(see </w:t>
      </w:r>
      <w:r w:rsidR="00387ECE">
        <w:t>SharePoint</w:t>
      </w:r>
      <w:r w:rsidR="000D5C41">
        <w:t>)</w:t>
      </w:r>
    </w:p>
    <w:p w14:paraId="6F8A2988" w14:textId="1E62E5AE" w:rsidR="00AA1D5E" w:rsidRDefault="00AA1D5E" w:rsidP="00B94DB3">
      <w:pPr>
        <w:pStyle w:val="ListParagraph"/>
        <w:numPr>
          <w:ilvl w:val="0"/>
          <w:numId w:val="4"/>
        </w:numPr>
      </w:pPr>
      <w:r>
        <w:t>SharePoint links etc.</w:t>
      </w:r>
    </w:p>
    <w:p w14:paraId="5FAABB2A" w14:textId="77777777" w:rsidR="00B94DB3" w:rsidRDefault="00B94DB3" w:rsidP="00B94DB3">
      <w:pPr>
        <w:pStyle w:val="ListParagraph"/>
        <w:numPr>
          <w:ilvl w:val="0"/>
          <w:numId w:val="4"/>
        </w:numPr>
      </w:pPr>
      <w:r>
        <w:t xml:space="preserve">FAQ e.g. </w:t>
      </w:r>
    </w:p>
    <w:p w14:paraId="33DB203C" w14:textId="77777777" w:rsidR="00B94DB3" w:rsidRDefault="00B94DB3" w:rsidP="00B94DB3">
      <w:pPr>
        <w:pStyle w:val="ListParagraph"/>
        <w:numPr>
          <w:ilvl w:val="1"/>
          <w:numId w:val="4"/>
        </w:numPr>
      </w:pPr>
      <w:r>
        <w:t xml:space="preserve">does an existing DPIA exist – all DPIA’s are stored </w:t>
      </w:r>
      <w:hyperlink r:id="rId9" w:history="1">
        <w:proofErr w:type="spellStart"/>
        <w:r w:rsidRPr="00822769">
          <w:rPr>
            <w:rStyle w:val="Hyperlink"/>
          </w:rPr>
          <w:t>RGU_Genetic_Laboratory</w:t>
        </w:r>
        <w:proofErr w:type="spellEnd"/>
        <w:r w:rsidRPr="00822769">
          <w:rPr>
            <w:rStyle w:val="Hyperlink"/>
          </w:rPr>
          <w:t xml:space="preserve"> - DPIA - All Documents</w:t>
        </w:r>
      </w:hyperlink>
      <w:r>
        <w:t xml:space="preserve"> please check if there is an existing DPIA approved or in progress.</w:t>
      </w:r>
    </w:p>
    <w:p w14:paraId="78707FCD" w14:textId="77777777" w:rsidR="00B94DB3" w:rsidRDefault="00B94DB3" w:rsidP="00B94DB3">
      <w:pPr>
        <w:pStyle w:val="ListParagraph"/>
        <w:numPr>
          <w:ilvl w:val="1"/>
          <w:numId w:val="4"/>
        </w:numPr>
      </w:pPr>
      <w:r>
        <w:t>Is a DPIA required?</w:t>
      </w:r>
    </w:p>
    <w:p w14:paraId="0EE3CBCB" w14:textId="77777777" w:rsidR="00B94DB3" w:rsidRDefault="00B94DB3" w:rsidP="00B94DB3">
      <w:pPr>
        <w:pStyle w:val="ListParagraph"/>
        <w:numPr>
          <w:ilvl w:val="0"/>
          <w:numId w:val="4"/>
        </w:numPr>
      </w:pPr>
      <w:r>
        <w:t>Must be accessible to a non-bioinformatics audience.</w:t>
      </w:r>
    </w:p>
    <w:p w14:paraId="540DE903" w14:textId="77777777" w:rsidR="00B94DB3" w:rsidRDefault="00B94DB3" w:rsidP="00B94DB3">
      <w:pPr>
        <w:pStyle w:val="ListParagraph"/>
        <w:numPr>
          <w:ilvl w:val="0"/>
          <w:numId w:val="4"/>
        </w:numPr>
      </w:pPr>
      <w:r>
        <w:t>When is a DPIA required?</w:t>
      </w:r>
    </w:p>
    <w:p w14:paraId="34B0EFC2" w14:textId="77777777" w:rsidR="00B94DB3" w:rsidRPr="00B72008" w:rsidRDefault="00B94DB3" w:rsidP="00B94DB3">
      <w:pPr>
        <w:pStyle w:val="ListParagraph"/>
        <w:numPr>
          <w:ilvl w:val="0"/>
          <w:numId w:val="4"/>
        </w:numPr>
      </w:pPr>
      <w:r>
        <w:t>How to complete a DPIA</w:t>
      </w:r>
    </w:p>
    <w:p w14:paraId="7AC8ED46" w14:textId="08BDFCDF" w:rsidR="00B94DB3" w:rsidRDefault="002B2834" w:rsidP="002B2834">
      <w:pPr>
        <w:pStyle w:val="Heading3"/>
      </w:pPr>
      <w:r>
        <w:t xml:space="preserve">Part 3 </w:t>
      </w:r>
      <w:r w:rsidR="00A83D26">
        <w:t>– Map the local DPIA procedure against guidelines/regulations.</w:t>
      </w:r>
    </w:p>
    <w:p w14:paraId="792EFC32" w14:textId="4D4D8F6C" w:rsidR="00A83D26" w:rsidRDefault="003B1AB3" w:rsidP="003B1AB3">
      <w:pPr>
        <w:pStyle w:val="ListParagraph"/>
        <w:numPr>
          <w:ilvl w:val="0"/>
          <w:numId w:val="4"/>
        </w:numPr>
      </w:pPr>
      <w:r>
        <w:t>Does our local DPIA procedure follow the regulations reviewed in part 1?</w:t>
      </w:r>
    </w:p>
    <w:p w14:paraId="69CBFFD0" w14:textId="6837D944" w:rsidR="003B1AB3" w:rsidRDefault="000C3F1B" w:rsidP="003B1AB3">
      <w:pPr>
        <w:pStyle w:val="ListParagraph"/>
        <w:numPr>
          <w:ilvl w:val="0"/>
          <w:numId w:val="4"/>
        </w:numPr>
      </w:pPr>
      <w:r>
        <w:t>Are there any gaps?</w:t>
      </w:r>
    </w:p>
    <w:p w14:paraId="59B647DB" w14:textId="1A55B43C" w:rsidR="000C3F1B" w:rsidRPr="00A83D26" w:rsidRDefault="000C3F1B" w:rsidP="003B1AB3">
      <w:pPr>
        <w:pStyle w:val="ListParagraph"/>
        <w:numPr>
          <w:ilvl w:val="0"/>
          <w:numId w:val="4"/>
        </w:numPr>
      </w:pPr>
      <w:r>
        <w:t>Can you suggest any improvements to the process?</w:t>
      </w:r>
    </w:p>
    <w:p w14:paraId="7E6AC2EC" w14:textId="77777777" w:rsidR="002B2834" w:rsidRDefault="002B2834" w:rsidP="002B2834"/>
    <w:tbl>
      <w:tblPr>
        <w:tblW w:w="899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9"/>
        <w:gridCol w:w="6317"/>
      </w:tblGrid>
      <w:tr w:rsidR="003F47E9" w:rsidRPr="00167698" w14:paraId="08E95F52" w14:textId="77777777" w:rsidTr="00407726">
        <w:trPr>
          <w:trHeight w:val="300"/>
        </w:trPr>
        <w:tc>
          <w:tcPr>
            <w:tcW w:w="8996" w:type="dxa"/>
            <w:gridSpan w:val="2"/>
            <w:tcBorders>
              <w:top w:val="single" w:sz="12" w:space="0" w:color="000000"/>
              <w:left w:val="single" w:sz="12" w:space="0" w:color="000000"/>
              <w:bottom w:val="single" w:sz="6" w:space="0" w:color="000000"/>
              <w:right w:val="single" w:sz="12" w:space="0" w:color="000000"/>
            </w:tcBorders>
            <w:shd w:val="clear" w:color="auto" w:fill="EDEDED"/>
            <w:hideMark/>
          </w:tcPr>
          <w:p w14:paraId="32C3498C" w14:textId="01A18A7B" w:rsidR="003F47E9" w:rsidRPr="00167698" w:rsidRDefault="003F47E9" w:rsidP="00407726">
            <w:r w:rsidRPr="00167698">
              <w:rPr>
                <w:b/>
                <w:bCs/>
              </w:rPr>
              <w:t xml:space="preserve">Part </w:t>
            </w:r>
            <w:r w:rsidR="00FF66E6">
              <w:rPr>
                <w:b/>
                <w:bCs/>
              </w:rPr>
              <w:t>B</w:t>
            </w:r>
            <w:r w:rsidRPr="00167698">
              <w:rPr>
                <w:b/>
                <w:bCs/>
              </w:rPr>
              <w:t>:</w:t>
            </w:r>
            <w:r w:rsidRPr="00167698">
              <w:t xml:space="preserve"> Please complete </w:t>
            </w:r>
            <w:r>
              <w:t>during the TA</w:t>
            </w:r>
          </w:p>
        </w:tc>
      </w:tr>
      <w:tr w:rsidR="003F47E9" w:rsidRPr="00167698" w14:paraId="1AB4534E"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hideMark/>
          </w:tcPr>
          <w:p w14:paraId="7BFA8FFF" w14:textId="77777777" w:rsidR="003F47E9" w:rsidRPr="0091495F" w:rsidRDefault="003F47E9" w:rsidP="00407726">
            <w:pPr>
              <w:spacing w:after="0"/>
              <w:rPr>
                <w:b/>
                <w:bCs/>
              </w:rPr>
            </w:pPr>
            <w:r w:rsidRPr="0091495F">
              <w:rPr>
                <w:b/>
                <w:bCs/>
              </w:rPr>
              <w:t xml:space="preserve">What have you learned from </w:t>
            </w:r>
            <w:r>
              <w:rPr>
                <w:b/>
                <w:bCs/>
              </w:rPr>
              <w:t>so far during the task?</w:t>
            </w:r>
            <w:r w:rsidRPr="0091495F">
              <w:rPr>
                <w:b/>
                <w:bCs/>
              </w:rPr>
              <w:t> </w:t>
            </w:r>
          </w:p>
        </w:tc>
        <w:tc>
          <w:tcPr>
            <w:tcW w:w="6317" w:type="dxa"/>
            <w:tcBorders>
              <w:top w:val="single" w:sz="6" w:space="0" w:color="000000"/>
              <w:left w:val="single" w:sz="6" w:space="0" w:color="000000"/>
              <w:bottom w:val="single" w:sz="6" w:space="0" w:color="000000"/>
              <w:right w:val="single" w:sz="12" w:space="0" w:color="000000"/>
            </w:tcBorders>
            <w:shd w:val="clear" w:color="auto" w:fill="auto"/>
            <w:hideMark/>
          </w:tcPr>
          <w:p w14:paraId="56732737" w14:textId="58E8B3CF" w:rsidR="003F47E9" w:rsidRPr="00167698" w:rsidRDefault="003F47E9" w:rsidP="00407726">
            <w:pPr>
              <w:spacing w:after="0"/>
            </w:pPr>
            <w:r w:rsidRPr="00167698">
              <w:t> </w:t>
            </w:r>
            <w:r w:rsidR="008D4AF4">
              <w:t>I was not previously aware of the DPIA process within the department and what it entails. I now understand it is an important and structured process in order to always handle patient data safely.</w:t>
            </w:r>
          </w:p>
        </w:tc>
      </w:tr>
      <w:tr w:rsidR="003F47E9" w:rsidRPr="00167698" w14:paraId="7091864F"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2ECA783" w14:textId="77777777" w:rsidR="003F47E9" w:rsidRPr="0091495F" w:rsidRDefault="003F47E9" w:rsidP="00407726">
            <w:pPr>
              <w:spacing w:after="0"/>
              <w:rPr>
                <w:b/>
                <w:bCs/>
              </w:rPr>
            </w:pPr>
            <w:r w:rsidRPr="0091495F">
              <w:rPr>
                <w:b/>
                <w:bCs/>
              </w:rPr>
              <w:t>How will you apply what you have learned to your future clinical practice? </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1BE30DB4" w14:textId="6B1EB7C5" w:rsidR="003F47E9" w:rsidRPr="00167698" w:rsidRDefault="008D4AF4" w:rsidP="00407726">
            <w:pPr>
              <w:spacing w:after="0"/>
            </w:pPr>
            <w:r>
              <w:t>As I am part of the Informatics team, I could potentially be handling DPIA requests myself in my future practice. I hope to make it an easy process for colleagues and encourage early conversations.</w:t>
            </w:r>
          </w:p>
        </w:tc>
      </w:tr>
      <w:tr w:rsidR="003F47E9" w:rsidRPr="00167698" w14:paraId="12AA309C"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19DA6F53" w14:textId="77777777" w:rsidR="003F47E9" w:rsidRPr="0091495F" w:rsidRDefault="003F47E9" w:rsidP="00407726">
            <w:pPr>
              <w:rPr>
                <w:b/>
                <w:bCs/>
              </w:rPr>
            </w:pPr>
            <w:r w:rsidRPr="0091495F">
              <w:rPr>
                <w:b/>
                <w:bCs/>
              </w:rPr>
              <w:t>Any other reflections? </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6BED88E9" w14:textId="13897982" w:rsidR="003F47E9" w:rsidRPr="00167698" w:rsidRDefault="003F47E9" w:rsidP="00407726">
            <w:pPr>
              <w:spacing w:after="0"/>
            </w:pPr>
          </w:p>
        </w:tc>
      </w:tr>
    </w:tbl>
    <w:p w14:paraId="7C1B0BCB" w14:textId="77777777" w:rsidR="003C19DD" w:rsidRDefault="003C19DD"/>
    <w:tbl>
      <w:tblPr>
        <w:tblW w:w="899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9"/>
        <w:gridCol w:w="6317"/>
      </w:tblGrid>
      <w:tr w:rsidR="00B723B9" w:rsidRPr="00167698" w14:paraId="1190885F" w14:textId="77777777" w:rsidTr="00407726">
        <w:trPr>
          <w:trHeight w:val="300"/>
        </w:trPr>
        <w:tc>
          <w:tcPr>
            <w:tcW w:w="8996" w:type="dxa"/>
            <w:gridSpan w:val="2"/>
            <w:tcBorders>
              <w:top w:val="single" w:sz="12" w:space="0" w:color="000000"/>
              <w:left w:val="single" w:sz="12" w:space="0" w:color="000000"/>
              <w:bottom w:val="single" w:sz="6" w:space="0" w:color="000000"/>
              <w:right w:val="single" w:sz="12" w:space="0" w:color="000000"/>
            </w:tcBorders>
            <w:shd w:val="clear" w:color="auto" w:fill="EDEDED"/>
            <w:hideMark/>
          </w:tcPr>
          <w:p w14:paraId="1A358087" w14:textId="2DF3BD10" w:rsidR="00B723B9" w:rsidRPr="00167698" w:rsidRDefault="00B723B9" w:rsidP="00407726">
            <w:r w:rsidRPr="00167698">
              <w:rPr>
                <w:b/>
                <w:bCs/>
              </w:rPr>
              <w:t xml:space="preserve">Part </w:t>
            </w:r>
            <w:r w:rsidR="00FF66E6">
              <w:rPr>
                <w:b/>
                <w:bCs/>
              </w:rPr>
              <w:t>C</w:t>
            </w:r>
            <w:r w:rsidRPr="00167698">
              <w:rPr>
                <w:b/>
                <w:bCs/>
              </w:rPr>
              <w:t>:</w:t>
            </w:r>
            <w:r w:rsidRPr="00167698">
              <w:t xml:space="preserve"> Please complete </w:t>
            </w:r>
            <w:r>
              <w:t>at the end of the TA</w:t>
            </w:r>
          </w:p>
        </w:tc>
      </w:tr>
      <w:tr w:rsidR="00B723B9" w:rsidRPr="00167698" w14:paraId="49CE624D"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70CC695E" w14:textId="77777777" w:rsidR="00B723B9" w:rsidRPr="0091495F" w:rsidRDefault="00B723B9" w:rsidP="00407726">
            <w:pPr>
              <w:rPr>
                <w:b/>
                <w:bCs/>
              </w:rPr>
            </w:pPr>
            <w:r w:rsidRPr="0091495F">
              <w:rPr>
                <w:b/>
                <w:bCs/>
              </w:rPr>
              <w:t xml:space="preserve">What have you learned from </w:t>
            </w:r>
            <w:r>
              <w:rPr>
                <w:b/>
                <w:bCs/>
              </w:rPr>
              <w:t>completing this task</w:t>
            </w:r>
            <w:r w:rsidRPr="0091495F">
              <w:rPr>
                <w:b/>
                <w:bCs/>
              </w:rPr>
              <w:t>? </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6CF33893" w14:textId="747F3806" w:rsidR="00B723B9" w:rsidRPr="00167698" w:rsidRDefault="00147F06" w:rsidP="00407726">
            <w:pPr>
              <w:spacing w:after="0"/>
            </w:pPr>
            <w:r w:rsidRPr="00147F06">
              <w:t>Completing this task has helped me understand the DPIA process much more deeply</w:t>
            </w:r>
            <w:r>
              <w:t>,</w:t>
            </w:r>
            <w:r w:rsidRPr="00147F06">
              <w:t xml:space="preserve"> not just in terms of the steps involved, but also how it fits into wider Trust governance and clinical safety. I’ve also seen how important it is to present complex processes like DPIAs in a clear, accessible way, especially for clinical and project staff who may not be familiar with IG or data protection. Working with flowcharts, templates, and guidance documents has shown me how essential it is to link policy with practical, everyday tools that staff can actually use.</w:t>
            </w:r>
          </w:p>
        </w:tc>
      </w:tr>
      <w:tr w:rsidR="00B723B9" w:rsidRPr="00167698" w14:paraId="77A8E2D1"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0D9E0A67" w14:textId="77777777" w:rsidR="00B723B9" w:rsidRPr="0091495F" w:rsidRDefault="00B723B9" w:rsidP="00407726">
            <w:pPr>
              <w:rPr>
                <w:b/>
                <w:bCs/>
              </w:rPr>
            </w:pPr>
            <w:r w:rsidRPr="0091495F">
              <w:rPr>
                <w:b/>
                <w:bCs/>
              </w:rPr>
              <w:t>How will you apply what you have learned to your future clinical practice? </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0301D083" w14:textId="4558E362" w:rsidR="00B723B9" w:rsidRPr="00167698" w:rsidRDefault="00147F06" w:rsidP="00407726">
            <w:pPr>
              <w:spacing w:after="0"/>
            </w:pPr>
            <w:r w:rsidRPr="00147F06">
              <w:t>In my role within the IG team, I’ll use this learning to improve how I support others through the DPIA process. I’ll focus on offering clear, early guidance to clinical teams</w:t>
            </w:r>
            <w:r>
              <w:t>.</w:t>
            </w:r>
            <w:r w:rsidRPr="00147F06">
              <w:t xml:space="preserve"> I also want to</w:t>
            </w:r>
            <w:r>
              <w:t xml:space="preserve"> be more involved with these processes from an Informatics perspective as </w:t>
            </w:r>
            <w:r>
              <w:lastRenderedPageBreak/>
              <w:t>going forward I may be able to help with some of these decisions and so should understand how they are made.</w:t>
            </w:r>
          </w:p>
        </w:tc>
      </w:tr>
      <w:tr w:rsidR="00B723B9" w:rsidRPr="00167698" w14:paraId="58F5EF04"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251252BB" w14:textId="77777777" w:rsidR="00B723B9" w:rsidRPr="0091495F" w:rsidRDefault="00B723B9" w:rsidP="00407726">
            <w:pPr>
              <w:rPr>
                <w:b/>
                <w:bCs/>
              </w:rPr>
            </w:pPr>
            <w:r w:rsidRPr="0091495F">
              <w:rPr>
                <w:b/>
                <w:bCs/>
              </w:rPr>
              <w:lastRenderedPageBreak/>
              <w:t>Any other reflections? </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4AFCA294" w14:textId="36BC5701" w:rsidR="00B723B9" w:rsidRPr="00167698" w:rsidRDefault="00147F06" w:rsidP="00407726">
            <w:pPr>
              <w:spacing w:after="0"/>
            </w:pPr>
            <w:r w:rsidRPr="00147F06">
              <w:t xml:space="preserve">This task has also shown me how important good cross-team communication </w:t>
            </w:r>
            <w:r w:rsidRPr="00147F06">
              <w:t>is</w:t>
            </w:r>
            <w:r>
              <w:t>,</w:t>
            </w:r>
            <w:r w:rsidRPr="00147F06">
              <w:t xml:space="preserve"> between</w:t>
            </w:r>
            <w:r w:rsidRPr="00147F06">
              <w:t xml:space="preserve"> IG, clinical leads, and external suppliers.</w:t>
            </w:r>
          </w:p>
        </w:tc>
      </w:tr>
      <w:tr w:rsidR="00B723B9" w:rsidRPr="00CB5E9A" w14:paraId="3058CFED" w14:textId="77777777" w:rsidTr="00407726">
        <w:trPr>
          <w:trHeight w:val="300"/>
        </w:trPr>
        <w:tc>
          <w:tcPr>
            <w:tcW w:w="2679" w:type="dxa"/>
            <w:tcBorders>
              <w:top w:val="single" w:sz="6" w:space="0" w:color="000000"/>
              <w:left w:val="single" w:sz="12" w:space="0" w:color="000000"/>
              <w:bottom w:val="single" w:sz="6" w:space="0" w:color="000000"/>
              <w:right w:val="single" w:sz="6" w:space="0" w:color="000000"/>
            </w:tcBorders>
            <w:shd w:val="clear" w:color="auto" w:fill="auto"/>
            <w:vAlign w:val="center"/>
          </w:tcPr>
          <w:p w14:paraId="6DDF51D4" w14:textId="77777777" w:rsidR="00B723B9" w:rsidRPr="00CB5E9A" w:rsidRDefault="00B723B9" w:rsidP="00407726">
            <w:r>
              <w:rPr>
                <w:b/>
                <w:bCs/>
              </w:rPr>
              <w:t>Action Plan:</w:t>
            </w:r>
            <w:r>
              <w:t xml:space="preserve"> Has this TA identified any knowledge/skills gaps that you feel you need addressing. If so, what is your plan to address these gaps?</w:t>
            </w:r>
          </w:p>
        </w:tc>
        <w:tc>
          <w:tcPr>
            <w:tcW w:w="6317" w:type="dxa"/>
            <w:tcBorders>
              <w:top w:val="single" w:sz="6" w:space="0" w:color="000000"/>
              <w:left w:val="single" w:sz="6" w:space="0" w:color="000000"/>
              <w:bottom w:val="single" w:sz="6" w:space="0" w:color="000000"/>
              <w:right w:val="single" w:sz="12" w:space="0" w:color="000000"/>
            </w:tcBorders>
            <w:shd w:val="clear" w:color="auto" w:fill="auto"/>
          </w:tcPr>
          <w:p w14:paraId="4356A8DC" w14:textId="77777777" w:rsidR="00147F06" w:rsidRPr="00147F06" w:rsidRDefault="00147F06" w:rsidP="00147F06">
            <w:pPr>
              <w:numPr>
                <w:ilvl w:val="0"/>
                <w:numId w:val="6"/>
              </w:numPr>
              <w:spacing w:after="0"/>
            </w:pPr>
            <w:r w:rsidRPr="00147F06">
              <w:rPr>
                <w:b/>
                <w:bCs/>
              </w:rPr>
              <w:t>Better knowledge of clinical workflows</w:t>
            </w:r>
            <w:r w:rsidRPr="00147F06">
              <w:t>: Understanding the clinical side helps ensure DPIA advice is relevant and realistic.</w:t>
            </w:r>
          </w:p>
          <w:p w14:paraId="6E98E55F" w14:textId="77777777" w:rsidR="00147F06" w:rsidRPr="00147F06" w:rsidRDefault="00147F06" w:rsidP="00147F06">
            <w:pPr>
              <w:numPr>
                <w:ilvl w:val="0"/>
                <w:numId w:val="6"/>
              </w:numPr>
              <w:spacing w:after="0"/>
            </w:pPr>
            <w:r w:rsidRPr="00147F06">
              <w:rPr>
                <w:b/>
                <w:bCs/>
              </w:rPr>
              <w:t>More confidence with data flow mapping</w:t>
            </w:r>
            <w:r w:rsidRPr="00147F06">
              <w:t>: I’d like to practise using tools to visualise how data moves between systems and organisations.</w:t>
            </w:r>
          </w:p>
          <w:p w14:paraId="7AA46B77" w14:textId="77777777" w:rsidR="00147F06" w:rsidRPr="00147F06" w:rsidRDefault="00147F06" w:rsidP="00147F06">
            <w:pPr>
              <w:numPr>
                <w:ilvl w:val="0"/>
                <w:numId w:val="6"/>
              </w:numPr>
              <w:spacing w:after="0"/>
            </w:pPr>
            <w:r w:rsidRPr="00147F06">
              <w:rPr>
                <w:b/>
                <w:bCs/>
              </w:rPr>
              <w:t>Improved communication skills for non-technical audiences</w:t>
            </w:r>
            <w:r w:rsidRPr="00147F06">
              <w:t>: I want to get better at explaining IG concepts in a way that’s easy to understand.</w:t>
            </w:r>
          </w:p>
          <w:p w14:paraId="10BB9B1C" w14:textId="77777777" w:rsidR="00147F06" w:rsidRPr="00147F06" w:rsidRDefault="00147F06" w:rsidP="00147F06">
            <w:pPr>
              <w:spacing w:after="0"/>
            </w:pPr>
            <w:r w:rsidRPr="00147F06">
              <w:rPr>
                <w:b/>
                <w:bCs/>
              </w:rPr>
              <w:t>Plan to address these gaps:</w:t>
            </w:r>
          </w:p>
          <w:p w14:paraId="083A43C9" w14:textId="77777777" w:rsidR="00147F06" w:rsidRPr="00147F06" w:rsidRDefault="00147F06" w:rsidP="00147F06">
            <w:pPr>
              <w:numPr>
                <w:ilvl w:val="0"/>
                <w:numId w:val="7"/>
              </w:numPr>
              <w:spacing w:after="0"/>
            </w:pPr>
            <w:r w:rsidRPr="00147F06">
              <w:t>Shadow clinical staff during a project planning meeting to better understand their priorities.</w:t>
            </w:r>
          </w:p>
          <w:p w14:paraId="3E473BDA" w14:textId="77777777" w:rsidR="00147F06" w:rsidRPr="00147F06" w:rsidRDefault="00147F06" w:rsidP="00147F06">
            <w:pPr>
              <w:numPr>
                <w:ilvl w:val="0"/>
                <w:numId w:val="7"/>
              </w:numPr>
              <w:spacing w:after="0"/>
            </w:pPr>
            <w:r w:rsidRPr="00147F06">
              <w:t>Attend training or request a session on data flow mapping and visual tools.</w:t>
            </w:r>
          </w:p>
          <w:p w14:paraId="4DCFFF20" w14:textId="61A402F3" w:rsidR="00147F06" w:rsidRPr="00147F06" w:rsidRDefault="00147F06" w:rsidP="00147F06">
            <w:pPr>
              <w:numPr>
                <w:ilvl w:val="0"/>
                <w:numId w:val="7"/>
              </w:numPr>
              <w:spacing w:after="0"/>
            </w:pPr>
            <w:r w:rsidRPr="00147F06">
              <w:t>Practise creating plain-language DPIA guidance and get feedback from a non-IG colleague.</w:t>
            </w:r>
          </w:p>
          <w:p w14:paraId="2B532901" w14:textId="77777777" w:rsidR="00B723B9" w:rsidRPr="00CB5E9A" w:rsidRDefault="00B723B9" w:rsidP="00407726">
            <w:pPr>
              <w:spacing w:after="0"/>
            </w:pPr>
          </w:p>
        </w:tc>
      </w:tr>
    </w:tbl>
    <w:p w14:paraId="534254FD" w14:textId="77777777" w:rsidR="003F47E9" w:rsidRDefault="003F47E9" w:rsidP="008750C5"/>
    <w:p w14:paraId="50BFCD6C" w14:textId="72A5FE13" w:rsidR="008750C5" w:rsidRDefault="008750C5" w:rsidP="004A2E61"/>
    <w:p w14:paraId="509F91BB" w14:textId="77777777" w:rsidR="004A2E61" w:rsidRPr="004A2E61" w:rsidRDefault="004A2E61" w:rsidP="004A2E61"/>
    <w:sectPr w:rsidR="004A2E61" w:rsidRPr="004A2E6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37E2C" w14:textId="77777777" w:rsidR="004C2E9A" w:rsidRDefault="004C2E9A" w:rsidP="004A2E61">
      <w:pPr>
        <w:spacing w:after="0" w:line="240" w:lineRule="auto"/>
      </w:pPr>
      <w:r>
        <w:separator/>
      </w:r>
    </w:p>
  </w:endnote>
  <w:endnote w:type="continuationSeparator" w:id="0">
    <w:p w14:paraId="4F5C05B5" w14:textId="77777777" w:rsidR="004C2E9A" w:rsidRDefault="004C2E9A" w:rsidP="004A2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DBC55" w14:textId="77777777" w:rsidR="004C2E9A" w:rsidRDefault="004C2E9A" w:rsidP="004A2E61">
      <w:pPr>
        <w:spacing w:after="0" w:line="240" w:lineRule="auto"/>
      </w:pPr>
      <w:r>
        <w:separator/>
      </w:r>
    </w:p>
  </w:footnote>
  <w:footnote w:type="continuationSeparator" w:id="0">
    <w:p w14:paraId="1F64EE5E" w14:textId="77777777" w:rsidR="004C2E9A" w:rsidRDefault="004C2E9A" w:rsidP="004A2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618BF" w14:textId="7F5B7E8B" w:rsidR="004A2E61" w:rsidRDefault="004A2E61">
    <w:pPr>
      <w:pStyle w:val="Header"/>
    </w:pPr>
    <w:r>
      <w:t xml:space="preserve">S-HI-S4: </w:t>
    </w:r>
    <w:r w:rsidR="003B743B">
      <w:t>TA</w:t>
    </w:r>
    <w:r w:rsidR="0009123B">
      <w:t>5</w:t>
    </w:r>
    <w:r>
      <w:ptab w:relativeTo="margin" w:alignment="right" w:leader="none"/>
    </w:r>
    <w:r w:rsidR="0009123B">
      <w:t>31/03/2025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B38C8"/>
    <w:multiLevelType w:val="multilevel"/>
    <w:tmpl w:val="BEA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E2272"/>
    <w:multiLevelType w:val="multilevel"/>
    <w:tmpl w:val="BEA0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326BF"/>
    <w:multiLevelType w:val="hybridMultilevel"/>
    <w:tmpl w:val="46EE8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9014C1"/>
    <w:multiLevelType w:val="hybridMultilevel"/>
    <w:tmpl w:val="112068F6"/>
    <w:lvl w:ilvl="0" w:tplc="4262089E">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D2429D"/>
    <w:multiLevelType w:val="hybridMultilevel"/>
    <w:tmpl w:val="5B90FDA4"/>
    <w:lvl w:ilvl="0" w:tplc="FB00BD80">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3E629E"/>
    <w:multiLevelType w:val="hybridMultilevel"/>
    <w:tmpl w:val="7A3A98CE"/>
    <w:lvl w:ilvl="0" w:tplc="BD74AD28">
      <w:start w:val="1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E37159"/>
    <w:multiLevelType w:val="hybridMultilevel"/>
    <w:tmpl w:val="DCA0A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6487012">
    <w:abstractNumId w:val="3"/>
  </w:num>
  <w:num w:numId="2" w16cid:durableId="1598368862">
    <w:abstractNumId w:val="5"/>
  </w:num>
  <w:num w:numId="3" w16cid:durableId="763460185">
    <w:abstractNumId w:val="4"/>
  </w:num>
  <w:num w:numId="4" w16cid:durableId="388262668">
    <w:abstractNumId w:val="6"/>
  </w:num>
  <w:num w:numId="5" w16cid:durableId="1219901340">
    <w:abstractNumId w:val="2"/>
  </w:num>
  <w:num w:numId="6" w16cid:durableId="573516669">
    <w:abstractNumId w:val="0"/>
  </w:num>
  <w:num w:numId="7" w16cid:durableId="97741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61"/>
    <w:rsid w:val="00022DBD"/>
    <w:rsid w:val="00027D5D"/>
    <w:rsid w:val="00066F77"/>
    <w:rsid w:val="00072CA8"/>
    <w:rsid w:val="0009123B"/>
    <w:rsid w:val="000C3F1B"/>
    <w:rsid w:val="000D5C41"/>
    <w:rsid w:val="00114EEE"/>
    <w:rsid w:val="00147F06"/>
    <w:rsid w:val="001B445D"/>
    <w:rsid w:val="001E6D76"/>
    <w:rsid w:val="00234F4F"/>
    <w:rsid w:val="00237F38"/>
    <w:rsid w:val="00243CAB"/>
    <w:rsid w:val="00245F58"/>
    <w:rsid w:val="002B2834"/>
    <w:rsid w:val="002C4CEE"/>
    <w:rsid w:val="002C5885"/>
    <w:rsid w:val="002D0CA5"/>
    <w:rsid w:val="002E10A6"/>
    <w:rsid w:val="00346DC1"/>
    <w:rsid w:val="00354E7A"/>
    <w:rsid w:val="003820C3"/>
    <w:rsid w:val="00382A09"/>
    <w:rsid w:val="00385403"/>
    <w:rsid w:val="00387ECE"/>
    <w:rsid w:val="00393A48"/>
    <w:rsid w:val="003B1AB3"/>
    <w:rsid w:val="003B743B"/>
    <w:rsid w:val="003C19DD"/>
    <w:rsid w:val="003D5549"/>
    <w:rsid w:val="003F47E9"/>
    <w:rsid w:val="0042435E"/>
    <w:rsid w:val="0044510F"/>
    <w:rsid w:val="00491403"/>
    <w:rsid w:val="004A2E61"/>
    <w:rsid w:val="004C253F"/>
    <w:rsid w:val="004C2E9A"/>
    <w:rsid w:val="004D4C44"/>
    <w:rsid w:val="00517467"/>
    <w:rsid w:val="00547141"/>
    <w:rsid w:val="00593DA0"/>
    <w:rsid w:val="005D21AB"/>
    <w:rsid w:val="005E7CEB"/>
    <w:rsid w:val="00602637"/>
    <w:rsid w:val="006378CE"/>
    <w:rsid w:val="00651B7F"/>
    <w:rsid w:val="0067116A"/>
    <w:rsid w:val="006B3FCC"/>
    <w:rsid w:val="006B72C7"/>
    <w:rsid w:val="006E5BFE"/>
    <w:rsid w:val="00766885"/>
    <w:rsid w:val="007B2116"/>
    <w:rsid w:val="007B43D6"/>
    <w:rsid w:val="007D1B48"/>
    <w:rsid w:val="00804CDD"/>
    <w:rsid w:val="008112A7"/>
    <w:rsid w:val="00817213"/>
    <w:rsid w:val="00822769"/>
    <w:rsid w:val="00856BA1"/>
    <w:rsid w:val="008750C5"/>
    <w:rsid w:val="00884B2F"/>
    <w:rsid w:val="00885106"/>
    <w:rsid w:val="008B6D18"/>
    <w:rsid w:val="008D4AF4"/>
    <w:rsid w:val="00911EC0"/>
    <w:rsid w:val="0091495F"/>
    <w:rsid w:val="00922460"/>
    <w:rsid w:val="00933D41"/>
    <w:rsid w:val="009641E9"/>
    <w:rsid w:val="00984C16"/>
    <w:rsid w:val="009906F5"/>
    <w:rsid w:val="00A16339"/>
    <w:rsid w:val="00A33CB4"/>
    <w:rsid w:val="00A50E8E"/>
    <w:rsid w:val="00A62A4E"/>
    <w:rsid w:val="00A83D26"/>
    <w:rsid w:val="00AA1D5E"/>
    <w:rsid w:val="00AE0A4B"/>
    <w:rsid w:val="00B447CF"/>
    <w:rsid w:val="00B72008"/>
    <w:rsid w:val="00B723B9"/>
    <w:rsid w:val="00B81E41"/>
    <w:rsid w:val="00B9249B"/>
    <w:rsid w:val="00B94DB3"/>
    <w:rsid w:val="00BB5B60"/>
    <w:rsid w:val="00BC41D5"/>
    <w:rsid w:val="00C03E92"/>
    <w:rsid w:val="00C47D7E"/>
    <w:rsid w:val="00C67B39"/>
    <w:rsid w:val="00C75DF4"/>
    <w:rsid w:val="00C76AD1"/>
    <w:rsid w:val="00CA6E91"/>
    <w:rsid w:val="00CD54BF"/>
    <w:rsid w:val="00D1561A"/>
    <w:rsid w:val="00D434B8"/>
    <w:rsid w:val="00D44128"/>
    <w:rsid w:val="00D72C8F"/>
    <w:rsid w:val="00D75324"/>
    <w:rsid w:val="00D82F87"/>
    <w:rsid w:val="00DD50A4"/>
    <w:rsid w:val="00E01B99"/>
    <w:rsid w:val="00E11CDB"/>
    <w:rsid w:val="00EF23DD"/>
    <w:rsid w:val="00EF5792"/>
    <w:rsid w:val="00F016FC"/>
    <w:rsid w:val="00F667A7"/>
    <w:rsid w:val="00FC3679"/>
    <w:rsid w:val="00FF6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96A11"/>
  <w15:chartTrackingRefBased/>
  <w15:docId w15:val="{20CDCDD6-C936-47A1-ABE6-3A043A94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2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2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A2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2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2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A2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E61"/>
    <w:rPr>
      <w:rFonts w:eastAsiaTheme="majorEastAsia" w:cstheme="majorBidi"/>
      <w:color w:val="272727" w:themeColor="text1" w:themeTint="D8"/>
    </w:rPr>
  </w:style>
  <w:style w:type="paragraph" w:styleId="Title">
    <w:name w:val="Title"/>
    <w:basedOn w:val="Normal"/>
    <w:next w:val="Normal"/>
    <w:link w:val="TitleChar"/>
    <w:uiPriority w:val="10"/>
    <w:qFormat/>
    <w:rsid w:val="004A2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E61"/>
    <w:pPr>
      <w:spacing w:before="160"/>
      <w:jc w:val="center"/>
    </w:pPr>
    <w:rPr>
      <w:i/>
      <w:iCs/>
      <w:color w:val="404040" w:themeColor="text1" w:themeTint="BF"/>
    </w:rPr>
  </w:style>
  <w:style w:type="character" w:customStyle="1" w:styleId="QuoteChar">
    <w:name w:val="Quote Char"/>
    <w:basedOn w:val="DefaultParagraphFont"/>
    <w:link w:val="Quote"/>
    <w:uiPriority w:val="29"/>
    <w:rsid w:val="004A2E61"/>
    <w:rPr>
      <w:i/>
      <w:iCs/>
      <w:color w:val="404040" w:themeColor="text1" w:themeTint="BF"/>
    </w:rPr>
  </w:style>
  <w:style w:type="paragraph" w:styleId="ListParagraph">
    <w:name w:val="List Paragraph"/>
    <w:basedOn w:val="Normal"/>
    <w:uiPriority w:val="34"/>
    <w:qFormat/>
    <w:rsid w:val="004A2E61"/>
    <w:pPr>
      <w:ind w:left="720"/>
      <w:contextualSpacing/>
    </w:pPr>
  </w:style>
  <w:style w:type="character" w:styleId="IntenseEmphasis">
    <w:name w:val="Intense Emphasis"/>
    <w:basedOn w:val="DefaultParagraphFont"/>
    <w:uiPriority w:val="21"/>
    <w:qFormat/>
    <w:rsid w:val="004A2E61"/>
    <w:rPr>
      <w:i/>
      <w:iCs/>
      <w:color w:val="0F4761" w:themeColor="accent1" w:themeShade="BF"/>
    </w:rPr>
  </w:style>
  <w:style w:type="paragraph" w:styleId="IntenseQuote">
    <w:name w:val="Intense Quote"/>
    <w:basedOn w:val="Normal"/>
    <w:next w:val="Normal"/>
    <w:link w:val="IntenseQuoteChar"/>
    <w:uiPriority w:val="30"/>
    <w:qFormat/>
    <w:rsid w:val="004A2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E61"/>
    <w:rPr>
      <w:i/>
      <w:iCs/>
      <w:color w:val="0F4761" w:themeColor="accent1" w:themeShade="BF"/>
    </w:rPr>
  </w:style>
  <w:style w:type="character" w:styleId="IntenseReference">
    <w:name w:val="Intense Reference"/>
    <w:basedOn w:val="DefaultParagraphFont"/>
    <w:uiPriority w:val="32"/>
    <w:qFormat/>
    <w:rsid w:val="004A2E61"/>
    <w:rPr>
      <w:b/>
      <w:bCs/>
      <w:smallCaps/>
      <w:color w:val="0F4761" w:themeColor="accent1" w:themeShade="BF"/>
      <w:spacing w:val="5"/>
    </w:rPr>
  </w:style>
  <w:style w:type="paragraph" w:styleId="Header">
    <w:name w:val="header"/>
    <w:basedOn w:val="Normal"/>
    <w:link w:val="HeaderChar"/>
    <w:uiPriority w:val="99"/>
    <w:unhideWhenUsed/>
    <w:rsid w:val="004A2E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E61"/>
  </w:style>
  <w:style w:type="paragraph" w:styleId="Footer">
    <w:name w:val="footer"/>
    <w:basedOn w:val="Normal"/>
    <w:link w:val="FooterChar"/>
    <w:uiPriority w:val="99"/>
    <w:unhideWhenUsed/>
    <w:rsid w:val="004A2E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E61"/>
  </w:style>
  <w:style w:type="character" w:styleId="Hyperlink">
    <w:name w:val="Hyperlink"/>
    <w:basedOn w:val="DefaultParagraphFont"/>
    <w:uiPriority w:val="99"/>
    <w:unhideWhenUsed/>
    <w:rsid w:val="0042435E"/>
    <w:rPr>
      <w:color w:val="467886" w:themeColor="hyperlink"/>
      <w:u w:val="single"/>
    </w:rPr>
  </w:style>
  <w:style w:type="character" w:styleId="UnresolvedMention">
    <w:name w:val="Unresolved Mention"/>
    <w:basedOn w:val="DefaultParagraphFont"/>
    <w:uiPriority w:val="99"/>
    <w:semiHidden/>
    <w:unhideWhenUsed/>
    <w:rsid w:val="0042435E"/>
    <w:rPr>
      <w:color w:val="605E5C"/>
      <w:shd w:val="clear" w:color="auto" w:fill="E1DFDD"/>
    </w:rPr>
  </w:style>
  <w:style w:type="character" w:styleId="FollowedHyperlink">
    <w:name w:val="FollowedHyperlink"/>
    <w:basedOn w:val="DefaultParagraphFont"/>
    <w:uiPriority w:val="99"/>
    <w:semiHidden/>
    <w:unhideWhenUsed/>
    <w:rsid w:val="008D4AF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702771">
      <w:bodyDiv w:val="1"/>
      <w:marLeft w:val="0"/>
      <w:marRight w:val="0"/>
      <w:marTop w:val="0"/>
      <w:marBottom w:val="0"/>
      <w:divBdr>
        <w:top w:val="none" w:sz="0" w:space="0" w:color="auto"/>
        <w:left w:val="none" w:sz="0" w:space="0" w:color="auto"/>
        <w:bottom w:val="none" w:sz="0" w:space="0" w:color="auto"/>
        <w:right w:val="none" w:sz="0" w:space="0" w:color="auto"/>
      </w:divBdr>
    </w:div>
    <w:div w:id="978611595">
      <w:bodyDiv w:val="1"/>
      <w:marLeft w:val="0"/>
      <w:marRight w:val="0"/>
      <w:marTop w:val="0"/>
      <w:marBottom w:val="0"/>
      <w:divBdr>
        <w:top w:val="none" w:sz="0" w:space="0" w:color="auto"/>
        <w:left w:val="none" w:sz="0" w:space="0" w:color="auto"/>
        <w:bottom w:val="none" w:sz="0" w:space="0" w:color="auto"/>
        <w:right w:val="none" w:sz="0" w:space="0" w:color="auto"/>
      </w:divBdr>
    </w:div>
    <w:div w:id="1630160773">
      <w:bodyDiv w:val="1"/>
      <w:marLeft w:val="0"/>
      <w:marRight w:val="0"/>
      <w:marTop w:val="0"/>
      <w:marBottom w:val="0"/>
      <w:divBdr>
        <w:top w:val="none" w:sz="0" w:space="0" w:color="auto"/>
        <w:left w:val="none" w:sz="0" w:space="0" w:color="auto"/>
        <w:bottom w:val="none" w:sz="0" w:space="0" w:color="auto"/>
        <w:right w:val="none" w:sz="0" w:space="0" w:color="auto"/>
      </w:divBdr>
    </w:div>
    <w:div w:id="190567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s.sharepoint.com/sites/RQ3_BWC_RGU_Genetic_Laboratory/Quality/Forms/AllItems.aspx?csf=1&amp;web=1&amp;e=qVmyAx&amp;CID=cfc9d0ac%2D84b5%2D4b52%2Dbe67%2D347c2ed0b3a7&amp;FolderCTID=0x012000F8FAD37517B02E478457D49080ABDCB8&amp;id=%2Fsites%2FRQ3%5FBWC%5FRGU%5FGenetic%5FLaboratory%2FQuality%2FDPIA%2FDPIA%20process%2C%20guides%2C%20templates&amp;viewid=8f093368%2D358d%2D4efb%2Da6fc%2D33422c1ae504" TargetMode="External"/><Relationship Id="rId3" Type="http://schemas.openxmlformats.org/officeDocument/2006/relationships/settings" Target="settings.xml"/><Relationship Id="rId7" Type="http://schemas.openxmlformats.org/officeDocument/2006/relationships/hyperlink" Target="https://nhs.sharepoint.com/sites/RQ3_BWC_RGU_Genetic_Laboratory/Quality/Forms/AllItems.aspx?csf=1&amp;web=1&amp;e=qVmyAx&amp;CID=cfc9d0ac%2D84b5%2D4b52%2Dbe67%2D347c2ed0b3a7&amp;FolderCTID=0x012000F8FAD37517B02E478457D49080ABDCB8&amp;id=%2Fsites%2FRQ3%5FBWC%5FRGU%5FGenetic%5FLaboratory%2FQuality%2FDPIA&amp;viewid=8f093368%2D358d%2D4efb%2Da6fc%2D33422c1ae50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nhs.sharepoint.com/sites/RQ3_BWC_RGU_Genetic_Laboratory/Quality/Forms/AllItems.aspx?csf=1&amp;web=1&amp;e=qVmyAx&amp;CID=cfc9d0ac%2D84b5%2D4b52%2Dbe67%2D347c2ed0b3a7&amp;FolderCTID=0x012000F8FAD37517B02E478457D49080ABDCB8&amp;id=%2Fsites%2FRQ3%5FBWC%5FRGU%5FGenetic%5FLaboratory%2FQuality%2FDPIA&amp;viewid=8f093368%2D358d%2D4efb%2Da6fc%2D33422c1ae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c354b2-85b0-47f5-b222-07b48d774ee3}" enabled="0" method="" siteId="{37c354b2-85b0-47f5-b222-07b48d774ee3}" removed="1"/>
</clbl:labelList>
</file>

<file path=docProps/app.xml><?xml version="1.0" encoding="utf-8"?>
<Properties xmlns="http://schemas.openxmlformats.org/officeDocument/2006/extended-properties" xmlns:vt="http://schemas.openxmlformats.org/officeDocument/2006/docPropsVTypes">
  <Template>Normal</Template>
  <TotalTime>5</TotalTime>
  <Pages>3</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Elizabeth Clare (BIRMINGHAM WOMEN'S AND CHILDREN'S NHS FOUNDATION TRUST)</dc:creator>
  <cp:keywords/>
  <dc:description/>
  <cp:lastModifiedBy>AMIR, Mishaal (BIRMINGHAM WOMEN'S AND CHILDREN'S NHS FOUNDATION TRUST)</cp:lastModifiedBy>
  <cp:revision>2</cp:revision>
  <dcterms:created xsi:type="dcterms:W3CDTF">2025-05-19T10:21:00Z</dcterms:created>
  <dcterms:modified xsi:type="dcterms:W3CDTF">2025-05-19T10:21:00Z</dcterms:modified>
</cp:coreProperties>
</file>