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Battery Specs and Equations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Battery Specifications: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Individual Cell Specifications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396 total cells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198 cells connected in series and the 2 sets connect in parallel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Max Voltage = 4.2V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Min Voltage = 3.0 V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Nominal Voltage = 3.7V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Amperage = 64.5 Ah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Gross Energy Capacity: 93.4 (kWh)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Net Energy Capacity: 83.7 (kWh)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Coulometric Capacity: ? (Ah)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Max Charging Power: 270 (kW)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Battery Weight: 630 (kg)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Energy Density: (Wh/kg)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Power Density: (W/kg)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Energy Efficiency: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Max (SOC):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Min (SOC)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Max (DOD):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Min (DOD)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Cycle Life: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Charge/Discharge Rate: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Internal Voltage: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Internal Resistance: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Kb1: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Kb2: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Battery: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sz w:val="24"/>
          <w:szCs w:val="24"/>
          <w:rtl w:val="0"/>
        </w:rPr>
        <w:t xml:space="preserve">contains 33 cell modules consisting of 12 individual cells each (396 in total)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196 individual cells are in series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 sets of 196 individual cells are in parallel.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