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40" w:lineRule="auto"/>
      </w:pPr>
      <w:r>
        <w:rPr>
          <w:rFonts w:ascii="Aptos" w:hAnsi="Aptos" w:cs="Aptos"/>
          <w:b/>
          <w:i w:val="0"/>
          <w:caps/>
          <w:color w:val="BD1B04"/>
          <w:spacing w:val="52"/>
          <w:sz w:val="20"/>
        </w:rPr>
        <w:t>FOUNDER OS · METRICS &amp; OKRS</w:t>
      </w:r>
    </w:p>
    <w:p>
      <w:pPr>
        <w:pStyle w:val="Title"/>
        <w:spacing w:before="0" w:after="200" w:line="250" w:lineRule="auto"/>
      </w:pPr>
      <w:r>
        <w:rPr>
          <w:rFonts w:ascii="Aptos Display" w:hAnsi="Aptos Display" w:cs="Aptos Display"/>
          <w:b/>
          <w:i w:val="0"/>
          <w:color w:val="0A0A0A"/>
          <w:spacing w:val="-16"/>
          <w:sz w:val="64"/>
        </w:rPr>
        <w:t>Metrics / OKR</w:t>
      </w:r>
    </w:p>
    <w:p>
      <w:pPr>
        <w:pBdr>
          <w:bottom w:val="single" w:sz="24" w:space="1" w:color="BD1B04"/>
        </w:pBdr>
        <w:spacing w:before="40" w:after="280" w:line="240" w:lineRule="auto"/>
        <w:ind w:right="7373"/>
      </w:pPr>
      <w:r>
        <w:rPr>
          <w:rFonts w:ascii="Aptos" w:hAnsi="Aptos" w:cs="Aptos"/>
          <w:b w:val="0"/>
          <w:i w:val="0"/>
          <w:color w:val="BD1B04"/>
          <w:sz w:val="6"/>
        </w:rPr>
        <w:t xml:space="preserve"> </w:t>
      </w:r>
    </w:p>
    <w:p>
      <w:pPr>
        <w:pBdr>
          <w:bottom w:val="single" w:sz="8" w:space="1" w:color="E5E7EB"/>
        </w:pBdr>
        <w:spacing w:before="160" w:after="240" w:line="240" w:lineRule="auto"/>
      </w:pPr>
      <w:r>
        <w:rPr>
          <w:rFonts w:ascii="Aptos" w:hAnsi="Aptos" w:cs="Aptos"/>
          <w:b w:val="0"/>
          <w:i w:val="0"/>
          <w:color w:val="E5E7EB"/>
          <w:sz w:val="4"/>
        </w:rPr>
        <w:t xml:space="preserve"> </w:t>
      </w:r>
    </w:p>
    <w:p>
      <w:pPr>
        <w:spacing w:before="0" w:after="160" w:line="288" w:lineRule="auto"/>
      </w:pPr>
      <w:r>
        <w:rPr>
          <w:rFonts w:ascii="Aptos" w:hAnsi="Aptos" w:cs="Aptos"/>
          <w:b w:val="0"/>
          <w:i/>
          <w:color w:val="6B7280"/>
          <w:sz w:val="22"/>
        </w:rPr>
        <w:t>A fill-in-the-blank exercise. Write 1 Objective and 2–4 Key Results. Each KR is a validation signal for the riskiest assumption locked in Phase 0. Output is pasted into PRD v2 §8 by hand. Target hit rate: 50–60%.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Riskiest Assumption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one belief that, if wrong, kills the business — from PRD v1 §7.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Objective</w:t>
      </w:r>
      <w:r>
        <w:rPr>
          <w:rFonts w:ascii="Aptos" w:hAnsi="Aptos" w:cs="Aptos"/>
          <w:b w:val="0"/>
          <w:i/>
          <w:color w:val="6B7280"/>
          <w:sz w:val="19"/>
        </w:rPr>
        <w:t xml:space="preserve">   One qualitative, time-bound direction — where you want to be, not a metric.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pStyle w:val="Heading3"/>
        <w:spacing w:before="240" w:after="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Key Results</w:t>
      </w:r>
    </w:p>
    <w:tbl>
      <w:tblPr>
        <w:tblW w:type="dxa" w:w="9029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445"/>
        <w:gridCol w:w="3612"/>
        <w:gridCol w:w="3973"/>
      </w:tblGrid>
      <w:tr>
        <w:trPr>
          <w:cantSplit/>
          <w:trHeight w:val="300" w:hRule="atLeast"/>
          <w:tblHeader/>
        </w:trPr>
        <w:tc>
          <w:tcPr>
            <w:tcW w:type="dxa" w:w="1445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#</w:t>
            </w:r>
          </w:p>
        </w:tc>
        <w:tc>
          <w:tcPr>
            <w:tcW w:type="dxa" w:w="3612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KEY RESULT</w:t>
            </w:r>
          </w:p>
        </w:tc>
        <w:tc>
          <w:tcPr>
            <w:tcW w:type="dxa" w:w="3973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SIGNAL TYPE</w:t>
            </w:r>
          </w:p>
        </w:tc>
      </w:tr>
      <w:tr>
        <w:trPr>
          <w:cantSplit/>
          <w:trHeight w:val="620" w:hRule="atLeast"/>
        </w:trPr>
        <w:tc>
          <w:tcPr>
            <w:tcW w:type="dxa" w:w="144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KR1</w:t>
            </w:r>
          </w:p>
        </w:tc>
        <w:tc>
          <w:tcPr>
            <w:tcW w:type="dxa" w:w="361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Measurable signal that proves or disproves the assumption.</w:t>
            </w:r>
          </w:p>
        </w:tc>
        <w:tc>
          <w:tcPr>
            <w:tcW w:type="dxa" w:w="397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Category: acquisition, activation, retention, revenue, or referral.</w:t>
            </w:r>
          </w:p>
        </w:tc>
      </w:tr>
      <w:tr>
        <w:trPr>
          <w:cantSplit/>
          <w:trHeight w:val="620" w:hRule="atLeast"/>
        </w:trPr>
        <w:tc>
          <w:tcPr>
            <w:tcW w:type="dxa" w:w="144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KR2</w:t>
            </w:r>
          </w:p>
        </w:tc>
        <w:tc>
          <w:tcPr>
            <w:tcW w:type="dxa" w:w="361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397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  <w:trHeight w:val="620" w:hRule="atLeast"/>
        </w:trPr>
        <w:tc>
          <w:tcPr>
            <w:tcW w:type="dxa" w:w="144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KR3</w:t>
            </w:r>
          </w:p>
        </w:tc>
        <w:tc>
          <w:tcPr>
            <w:tcW w:type="dxa" w:w="361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397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  <w:trHeight w:val="620" w:hRule="atLeast"/>
        </w:trPr>
        <w:tc>
          <w:tcPr>
            <w:tcW w:type="dxa" w:w="144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KR4</w:t>
            </w:r>
          </w:p>
        </w:tc>
        <w:tc>
          <w:tcPr>
            <w:tcW w:type="dxa" w:w="361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397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4" w:color="E5E7EB"/>
      </w:pBdr>
      <w:tabs>
        <w:tab w:pos="9029" w:val="right"/>
      </w:tabs>
      <w:spacing w:before="80" w:after="0"/>
    </w:pPr>
    <w:r/>
    <w:r>
      <w:rPr>
        <w:rFonts w:ascii="Aptos" w:hAnsi="Aptos" w:cs="Aptos"/>
        <w:b w:val="0"/>
        <w:i w:val="0"/>
        <w:color w:val="6B7280"/>
        <w:spacing w:val="12"/>
        <w:sz w:val="17"/>
      </w:rPr>
      <w:t>WNCP AI · Founder OS</w:t>
    </w:r>
    <w:r>
      <w:rPr>
        <w:rFonts w:ascii="Aptos" w:hAnsi="Aptos" w:cs="Aptos"/>
        <w:b w:val="0"/>
        <w:i w:val="0"/>
        <w:color w:val="6B7280"/>
        <w:sz w:val="17"/>
      </w:rPr>
      <w:tab/>
    </w:r>
    <w:r>
      <w:rPr>
        <w:rFonts w:ascii="Aptos Display" w:hAnsi="Aptos Display" w:cs="Aptos Display"/>
        <w:b/>
        <w:i w:val="0"/>
        <w:color w:val="BD1B0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top w:val="single" w:sz="24" w:space="2" w:color="BD1B04"/>
        <w:bottom w:val="single" w:sz="8" w:space="4" w:color="E5E7EB"/>
      </w:pBdr>
      <w:tabs>
        <w:tab w:pos="9029" w:val="right"/>
      </w:tabs>
      <w:spacing w:before="40" w:after="80"/>
    </w:pPr>
    <w:r/>
    <w:r>
      <w:drawing>
        <wp:inline xmlns:a="http://schemas.openxmlformats.org/drawingml/2006/main" xmlns:pic="http://schemas.openxmlformats.org/drawingml/2006/picture">
          <wp:extent cx="561166" cy="2926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ncp-logo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166" cy="29260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 w:cs="Aptos"/>
        <w:b w:val="0"/>
        <w:i w:val="0"/>
        <w:color w:val="6B7280"/>
        <w:sz w:val="16"/>
      </w:rPr>
      <w:tab/>
    </w:r>
    <w:r>
      <w:rPr>
        <w:rFonts w:ascii="Aptos" w:hAnsi="Aptos" w:cs="Aptos"/>
        <w:b/>
        <w:i w:val="0"/>
        <w:color w:val="6B7280"/>
        <w:spacing w:val="24"/>
        <w:sz w:val="16"/>
      </w:rPr>
      <w:t>PRODUCT WEEK · C.2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cs="Aptos"/>
      <w:b w:val="0"/>
      <w:color w:val="2D2D2D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6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cs="Aptos Display"/>
      <w:b/>
      <w:color w:val="0A0A0A"/>
      <w:spacing w:val="5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