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 w:eastAsia="Microsoft YaHei"/>
          <w:b/>
          <w:color w:val="2E74B5"/>
          <w:sz w:val="20"/>
        </w:rPr>
        <w:t>TECHNICAL BRIEF</w:t>
      </w:r>
    </w:p>
    <w:p>
      <w:pPr>
        <w:spacing w:after="80" w:line="252" w:lineRule="auto"/>
      </w:pPr>
      <w:r>
        <w:rPr>
          <w:rFonts w:ascii="Calibri" w:hAnsi="Calibri" w:eastAsia="Microsoft YaHei"/>
          <w:b/>
          <w:color w:val="123558"/>
          <w:sz w:val="46"/>
        </w:rPr>
        <w:t>ModelNet Gateway 技术方案领导汇报</w:t>
      </w:r>
    </w:p>
    <w:p>
      <w:pPr>
        <w:spacing w:after="280"/>
      </w:pPr>
      <w:r>
        <w:rPr>
          <w:rFonts w:ascii="Calibri" w:hAnsi="Calibri" w:eastAsia="Microsoft YaHei"/>
          <w:b w:val="0"/>
          <w:color w:val="5C6978"/>
          <w:sz w:val="26"/>
        </w:rPr>
        <w:t>模型服务统一入口、智能路由与多模型协作网关</w:t>
      </w:r>
    </w:p>
    <w:p>
      <w:pPr>
        <w:spacing w:after="40"/>
      </w:pPr>
      <w:r>
        <w:rPr>
          <w:rFonts w:ascii="Calibri" w:hAnsi="Calibri" w:eastAsia="Microsoft YaHei"/>
          <w:b/>
          <w:color w:val="1E2832"/>
          <w:sz w:val="21"/>
        </w:rPr>
        <w:t xml:space="preserve">To: </w:t>
      </w:r>
      <w:r>
        <w:rPr>
          <w:rFonts w:ascii="Calibri" w:hAnsi="Calibri" w:eastAsia="Microsoft YaHei"/>
          <w:color w:val="1E2832"/>
          <w:sz w:val="21"/>
        </w:rPr>
        <w:t>项目负责人、平台负责人、研发管理者</w:t>
      </w:r>
    </w:p>
    <w:p>
      <w:pPr>
        <w:spacing w:after="40"/>
      </w:pPr>
      <w:r>
        <w:rPr>
          <w:rFonts w:ascii="Calibri" w:hAnsi="Calibri" w:eastAsia="Microsoft YaHei"/>
          <w:b/>
          <w:color w:val="1E2832"/>
          <w:sz w:val="21"/>
        </w:rPr>
        <w:t xml:space="preserve">From: </w:t>
      </w:r>
      <w:r>
        <w:rPr>
          <w:rFonts w:ascii="Calibri" w:hAnsi="Calibri" w:eastAsia="Microsoft YaHei"/>
          <w:color w:val="1E2832"/>
          <w:sz w:val="21"/>
        </w:rPr>
        <w:t>ModelNet Gateway 技术整理</w:t>
      </w:r>
    </w:p>
    <w:p>
      <w:pPr>
        <w:spacing w:after="40"/>
      </w:pPr>
      <w:r>
        <w:rPr>
          <w:rFonts w:ascii="Calibri" w:hAnsi="Calibri" w:eastAsia="Microsoft YaHei"/>
          <w:b/>
          <w:color w:val="1E2832"/>
          <w:sz w:val="21"/>
        </w:rPr>
        <w:t xml:space="preserve">Date: </w:t>
      </w:r>
      <w:r>
        <w:rPr>
          <w:rFonts w:ascii="Calibri" w:hAnsi="Calibri" w:eastAsia="Microsoft YaHei"/>
          <w:color w:val="1E2832"/>
          <w:sz w:val="21"/>
        </w:rPr>
        <w:t>2026-06-13</w:t>
      </w:r>
    </w:p>
    <w:p>
      <w:pPr>
        <w:spacing w:after="40"/>
      </w:pPr>
      <w:r>
        <w:rPr>
          <w:rFonts w:ascii="Calibri" w:hAnsi="Calibri" w:eastAsia="Microsoft YaHei"/>
          <w:b/>
          <w:color w:val="1E2832"/>
          <w:sz w:val="21"/>
        </w:rPr>
        <w:t xml:space="preserve">Status: </w:t>
      </w:r>
      <w:r>
        <w:rPr>
          <w:rFonts w:ascii="Calibri" w:hAnsi="Calibri" w:eastAsia="Microsoft YaHei"/>
          <w:color w:val="1E2832"/>
          <w:sz w:val="21"/>
        </w:rPr>
        <w:t>技术方案与当前实现说明</w:t>
      </w:r>
    </w:p>
    <w:p>
      <w:pPr>
        <w:spacing w:after="240"/>
        <w:pBdr>
          <w:bottom w:val="single" w:sz="8" w:space="6" w:color="9FB8D6"/>
        </w:pBdr>
      </w:pPr>
    </w:p>
    <w:p>
      <w:pPr>
        <w:pStyle w:val="Heading1"/>
      </w:pPr>
      <w:r>
        <w:t>1. 一页摘要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47346"/>
                <w:sz w:val="21"/>
              </w:rPr>
              <w:t>核心结论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832"/>
                <w:sz w:val="21"/>
              </w:rPr>
              <w:t>ModelNet Gateway 的价值不是把请求简单转发到模型，而是在平台层统一接入、治理、调度和观测模型服务，为后续多模型协作和资源优化打基础。</w:t>
            </w:r>
          </w:p>
        </w:tc>
      </w:tr>
    </w:tbl>
    <w:p>
      <w:pPr>
        <w:spacing w:after="6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E2832"/>
          <w:sz w:val="22"/>
        </w:rPr>
        <w:t>ModelNet Gateway 是模型服务的统一入口和调度层。它承接 LobeHub、LiteLLM、OpenAI-compatible SDK 和 ModelNet Native 请求，再根据模型注册表、租户权限、模型能力、健康状态、K8s/Prometheus 负载和协作策略选择后端模型服务。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对业务侧：保持稳定调用方式，减少模型切换、后端替换和协议差异带来的改造。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对平台侧：集中处理模型新增、下线、限权、降级、健康检查、负载调度和观测。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对研发侧：通过统一 IR、runner、aggregator 和 backend adapter 降低后续扩展成本。</w:t>
      </w:r>
    </w:p>
    <w:p>
      <w:r>
        <w:br w:type="page"/>
      </w:r>
    </w:p>
    <w:p>
      <w:pPr>
        <w:pStyle w:val="Heading1"/>
      </w:pPr>
      <w:r>
        <w:t>2. 当前要解决的问题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00"/>
        <w:gridCol w:w="38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问题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没有网关时的表现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网关方案的处理方式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入口分散</w:t>
            </w:r>
          </w:p>
        </w:tc>
        <w:tc>
          <w:tcPr>
            <w:tcW w:type="dxa" w:w="38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不同后端协议、鉴权、URL、流式格式不一致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对外提供统一入口，内部做协议适配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治理困难</w:t>
            </w:r>
          </w:p>
        </w:tc>
        <w:tc>
          <w:tcPr>
            <w:tcW w:type="dxa" w:w="38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上层服务直接绑定模型，新增和下线成本高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通过注册表、能力描述和租户策略统一治理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状态不可见</w:t>
            </w:r>
          </w:p>
        </w:tc>
        <w:tc>
          <w:tcPr>
            <w:tcW w:type="dxa" w:w="38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请求可能打到不可用或高负载后端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结合健康检查、K8s 状态和 Prometheus 负载路由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协作难复用</w:t>
            </w:r>
          </w:p>
        </w:tc>
        <w:tc>
          <w:tcPr>
            <w:tcW w:type="dxa" w:w="38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多模型投票、验证、自动组网易散落在业务代码里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在 runner/aggregator 层沉淀通用协作机制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排障成本高</w:t>
            </w:r>
          </w:p>
        </w:tc>
        <w:tc>
          <w:tcPr>
            <w:tcW w:type="dxa" w:w="38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难以解释为什么选中或跳过某个模型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输出 trace、capability diagnostics 和 metrics</w:t>
            </w:r>
          </w:p>
        </w:tc>
      </w:tr>
    </w:tbl>
    <w:p>
      <w:pPr>
        <w:spacing w:after="80"/>
      </w:pPr>
    </w:p>
    <w:p>
      <w:pPr>
        <w:pStyle w:val="Heading1"/>
      </w:pPr>
      <w:r>
        <w:t>3. 总体技术方案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E2832"/>
          <w:sz w:val="22"/>
        </w:rPr>
        <w:t>线上链路可以概括为：LobeHub / SDK / 业务服务 -&gt; LiteLLM -&gt; modelnet-router -&gt; vLLM、llama.cpp、OpenAI-compatible、Ollama 等模型后端。其中 modelnet-router 位于 LiteLLM 与真实模型后端之间，对上承接标准聊天请求和 ModelNet Native 协作请求，对下屏蔽不同模型后端的协议差异。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4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ship-system-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E2832"/>
          <w:sz w:val="22"/>
        </w:rPr>
        <w:t>核心设计是先把请求转换为统一内部 IR，再进入鉴权、能力匹配、路由评分、后端适配和结果输出流程。这样可以让入口协议、路由策略和后端调用分别演进，避免所有逻辑堆在业务侧。</w:t>
      </w:r>
    </w:p>
    <w:p>
      <w:r>
        <w:br w:type="page"/>
      </w:r>
    </w:p>
    <w:p>
      <w:pPr>
        <w:pStyle w:val="Heading1"/>
      </w:pPr>
      <w:r>
        <w:t>4. 核心能力分层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54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ship-capability-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549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100"/>
        <w:gridCol w:w="3860"/>
      </w:tblGrid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层级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主要职责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管理价值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接入层</w:t>
            </w:r>
          </w:p>
        </w:tc>
        <w:tc>
          <w:tcPr>
            <w:tcW w:type="dxa" w:w="41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OpenAI-compatible、ModelNet Native、SSE 输出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兼容现有生态，减少业务侧改造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契约层</w:t>
            </w:r>
          </w:p>
        </w:tc>
        <w:tc>
          <w:tcPr>
            <w:tcW w:type="dxa" w:w="41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统一请求 IR、事件模型、能力描述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降低模块耦合，便于后续扩展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控制面</w:t>
            </w:r>
          </w:p>
        </w:tc>
        <w:tc>
          <w:tcPr>
            <w:tcW w:type="dxa" w:w="41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模型注册表、租户权限、K8s/Prometheus 状态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把模型资源治理集中到平台层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路由层</w:t>
            </w:r>
          </w:p>
        </w:tc>
        <w:tc>
          <w:tcPr>
            <w:tcW w:type="dxa" w:w="41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能力过滤、健康过滤、负载评分、故障 cooldown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提升可用性和资源利用效率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执行层</w:t>
            </w:r>
          </w:p>
        </w:tc>
        <w:tc>
          <w:tcPr>
            <w:tcW w:type="dxa" w:w="41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单模型调用、多模型并行、自动组网、Claim Graph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支持从普通调用升级到复杂协作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观测层</w:t>
            </w:r>
          </w:p>
        </w:tc>
        <w:tc>
          <w:tcPr>
            <w:tcW w:type="dxa" w:w="41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trace、metrics、capability diagnostics</w:t>
            </w:r>
          </w:p>
        </w:tc>
        <w:tc>
          <w:tcPr>
            <w:tcW w:type="dxa" w:w="3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便于解释、排障和管理复盘</w:t>
            </w:r>
          </w:p>
        </w:tc>
      </w:tr>
    </w:tbl>
    <w:p>
      <w:pPr>
        <w:spacing w:after="80"/>
      </w:pPr>
    </w:p>
    <w:p>
      <w:pPr>
        <w:pStyle w:val="Heading1"/>
      </w:pPr>
      <w:r>
        <w:t>5. 关键技术设计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统一内部请求模型：不同入口的请求先转换为 ModelNetRunRequest，执行层不直接依赖原始 payload。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能力驱动的模型选择：综合租户权限、模型别名、required capabilities、健康状态、ready pod、负载、in-flight 请求和失败 cooldown。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runner/aggregator 插件化：支持单模型、多模型并行、自动组网和 Claim Graph 事实验证。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后端协议适配集中化：统一处理 vLLM、llama.cpp、OpenAI-compatible、Ollama 等后端的 body、URL、流式和失败判断。</w:t>
      </w:r>
    </w:p>
    <w:p>
      <w:r>
        <w:br w:type="page"/>
      </w:r>
    </w:p>
    <w:p>
      <w:pPr>
        <w:pStyle w:val="Heading1"/>
      </w:pPr>
      <w:r>
        <w:t>6. 当前实现状态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600"/>
        <w:gridCol w:w="58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模块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当前状态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OpenAI 兼容入口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已实现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支持 /v1/chat/completions，适配 LobeHub、LiteLLM 和 SDK 风格调用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Native 入口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已实现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支持 /v1/runs/stream，用于显式控制 runner、aggregator 和 trace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模型注册表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已实现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通过 MODELNET_REGISTRY_PATH 加载，支持 alias、capabilities、backend type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租户鉴权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已实现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支持 JSON、多 key、legacy key 和匿名模式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普通路由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已实现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支持能力过滤、健康过滤、负载评分、cooldown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多模型协作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部分实现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已有并行 runner 和 aggregator，部分高级 runner 处于 reserved/degraded 状态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自动组网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基础可用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modelnet-auto 可进入 auto.network，复杂策略需结合线上效果迭代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Claim Graph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已有实现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支持 draft、claim 抽取、验证和保守组装，记忆能力依赖配置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7"/>
              </w:rPr>
              <w:t>可观测性</w:t>
            </w:r>
          </w:p>
        </w:tc>
        <w:tc>
          <w:tcPr>
            <w:tcW w:type="dxa" w:w="16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基础可用</w:t>
            </w:r>
          </w:p>
        </w:tc>
        <w:tc>
          <w:tcPr>
            <w:tcW w:type="dxa" w:w="58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7"/>
              </w:rPr>
              <w:t>提供 metrics、trace、diagnostics，后续可补齐管理看板</w:t>
            </w:r>
          </w:p>
        </w:tc>
      </w:tr>
    </w:tbl>
    <w:p>
      <w:pPr>
        <w:spacing w:after="80"/>
      </w:pPr>
    </w:p>
    <w:p>
      <w:pPr>
        <w:pStyle w:val="Heading1"/>
      </w:pPr>
      <w:r>
        <w:t>7. 技术亮点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23558"/>
                <w:sz w:val="21"/>
              </w:rPr>
              <w:t>亮点概括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832"/>
                <w:sz w:val="21"/>
              </w:rPr>
              <w:t>ModelNet Gateway 把模型调用从静态代理升级为模型服务调度与协作平台，后续可以承载更多模型治理、资源优化和高可靠回答场景。</w:t>
            </w:r>
          </w:p>
        </w:tc>
      </w:tr>
    </w:tbl>
    <w:p>
      <w:pPr>
        <w:spacing w:after="60"/>
      </w:pP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从请求转发升级为模型服务调度：根据能力、权限、健康和负载动态选择模型。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从单模型调用扩展到多模型协作：投票、并行回答、自动组网和事实验证可以平台化复用。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从业务侧维护模型细节转为平台侧统一治理：业务调用更稳定，平台扩展更可控。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从黑盒失败改善为可解释排障：diagnostics 和 trace 能说明权限、能力、健康或负载问题。</w:t>
      </w:r>
    </w:p>
    <w:p>
      <w:r>
        <w:br w:type="page"/>
      </w:r>
    </w:p>
    <w:p>
      <w:pPr>
        <w:pStyle w:val="Heading1"/>
      </w:pPr>
      <w:r>
        <w:t>8. 风险与边界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风险/边界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影响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建议动作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注册表配置质量</w:t>
            </w:r>
          </w:p>
        </w:tc>
        <w:tc>
          <w:tcPr>
            <w:tcW w:type="dxa" w:w="35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alias、capabilities 或 backend type 配错会影响路由</w:t>
            </w:r>
          </w:p>
        </w:tc>
        <w:tc>
          <w:tcPr>
            <w:tcW w:type="dxa" w:w="36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建立配置校验和变更 review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外部状态数据质量</w:t>
            </w:r>
          </w:p>
        </w:tc>
        <w:tc>
          <w:tcPr>
            <w:tcW w:type="dxa" w:w="35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K8s/Prometheus 数据缺失时，评分会退化</w:t>
            </w:r>
          </w:p>
        </w:tc>
        <w:tc>
          <w:tcPr>
            <w:tcW w:type="dxa" w:w="36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明确降级策略并补齐监控告警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高级协作收益验证</w:t>
            </w:r>
          </w:p>
        </w:tc>
        <w:tc>
          <w:tcPr>
            <w:tcW w:type="dxa" w:w="35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多模型协作可能增加延迟和成本</w:t>
            </w:r>
          </w:p>
        </w:tc>
        <w:tc>
          <w:tcPr>
            <w:tcW w:type="dxa" w:w="36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先在高价值场景灰度，记录收益和成本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鉴权运维规范</w:t>
            </w:r>
          </w:p>
        </w:tc>
        <w:tc>
          <w:tcPr>
            <w:tcW w:type="dxa" w:w="35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key 管理不规范会影响安全边界</w:t>
            </w:r>
          </w:p>
        </w:tc>
        <w:tc>
          <w:tcPr>
            <w:tcW w:type="dxa" w:w="36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生产环境统一使用显式租户 key 配置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观测产品化不足</w:t>
            </w:r>
          </w:p>
        </w:tc>
        <w:tc>
          <w:tcPr>
            <w:tcW w:type="dxa" w:w="350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trace 和 metrics 已有基础，但管理视图不足</w:t>
            </w:r>
          </w:p>
        </w:tc>
        <w:tc>
          <w:tcPr>
            <w:tcW w:type="dxa" w:w="36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建设 dashboard 和排障手册</w:t>
            </w:r>
          </w:p>
        </w:tc>
      </w:tr>
    </w:tbl>
    <w:p>
      <w:pPr>
        <w:spacing w:after="80"/>
      </w:pPr>
    </w:p>
    <w:p>
      <w:pPr>
        <w:pStyle w:val="Heading1"/>
      </w:pPr>
      <w:r>
        <w:t>9. 下一步建议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E2832"/>
          <w:sz w:val="22"/>
        </w:rPr>
        <w:t>近期重点是把 ModelNet Gateway 从“可运行能力”推进到“可长期运营能力”。建议优先做四件事：补齐注册表校验和变更流程；把 /v1/capabilities、/healthz、/metrics 的检查沉淀为固定巡检；选择 1-2 个明确业务场景灰度 modelnet-auto 和 Claim Graph；形成面向研发、运维和管理三类角色的文档与看板。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资源建议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832"/>
                <w:sz w:val="21"/>
              </w:rPr>
              <w:t>继续保留平台研发投入，并为 GPU/K8s/Prometheus 观测数据质量安排明确责任人。没有高质量运行数据，智能路由会退化为静态规则；有了稳定数据后，网关才能真正承担模型资源调度层角色。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10. 领导关注点回答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关注点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8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23558"/>
                <w:sz w:val="19"/>
              </w:rPr>
              <w:t>回答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核心价值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统一模型入口，降低业务接入成本，提升模型资源治理和调度能力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是否只是代理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不是。它还负责能力匹配、租户权限、健康/负载感知、多模型协作和 trace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当前是否可用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基础调用、鉴权、路由、后端适配和观测能力已经具备；高级协作策略需要继续灰度验证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最大风险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配置质量、观测数据质量和高级协作策略的线上收益验证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E2832"/>
                <w:sz w:val="18"/>
              </w:rPr>
              <w:t>下一步投入</w:t>
            </w:r>
          </w:p>
        </w:tc>
        <w:tc>
          <w:tcPr>
            <w:tcW w:type="dxa" w:w="7160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E2832"/>
                <w:sz w:val="18"/>
              </w:rPr>
              <w:t>配置治理、运行监控、灰度场景和管理看板</w:t>
            </w:r>
          </w:p>
        </w:tc>
      </w:tr>
    </w:tbl>
    <w:p>
      <w:pPr>
        <w:spacing w:after="80"/>
      </w:pPr>
    </w:p>
    <w:p>
      <w:pPr>
        <w:pStyle w:val="Heading1"/>
      </w:pPr>
      <w:r>
        <w:t>11. 建议会议结论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47346"/>
                <w:sz w:val="21"/>
              </w:rPr>
              <w:t>建议结论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E2832"/>
                <w:sz w:val="21"/>
              </w:rPr>
              <w:t>将 ModelNet Gateway 定位为模型平台基础能力。下一阶段优先补齐配置治理、运行监控和灰度验证，让网关从“能跑”走向“可运营、可解释、可扩展”。</w:t>
            </w:r>
          </w:p>
        </w:tc>
      </w:tr>
    </w:tbl>
    <w:p>
      <w:pPr>
        <w:spacing w:after="60"/>
      </w:pP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确认平台能力定位，不把它仅作为单个业务项目的附属代理。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指定观测数据与注册表质量责任人，避免智能路由退化为静态规则。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E2832"/>
          <w:sz w:val="21"/>
        </w:rPr>
        <w:t>选择 1-2 个业务场景验证自动组网和 Claim Graph 的实际收益。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C6978"/>
        <w:sz w:val="18"/>
      </w:rPr>
      <w:t>内部技术简报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color w:val="5C6978"/>
        <w:sz w:val="18"/>
      </w:rPr>
      <w:t>ModelNet Gateway | 技术方案汇报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E28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