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64" w:lineRule="auto"/>
      </w:pPr>
      <w:r>
        <w:rPr>
          <w:rFonts w:ascii="Calibri" w:hAnsi="Calibri" w:eastAsia="Microsoft YaHei"/>
          <w:b/>
          <w:i w:val="0"/>
          <w:color w:val="525252"/>
          <w:sz w:val="21"/>
        </w:rPr>
        <w:t>内部汇报简报</w:t>
      </w:r>
    </w:p>
    <w:p>
      <w:pPr>
        <w:spacing w:before="0" w:after="360" w:line="252" w:lineRule="auto"/>
      </w:pPr>
      <w:r>
        <w:rPr>
          <w:rFonts w:ascii="Calibri" w:hAnsi="Calibri" w:eastAsia="Microsoft YaHei"/>
          <w:b/>
          <w:i w:val="0"/>
          <w:color w:val="1E1E1E"/>
          <w:sz w:val="44"/>
        </w:rPr>
        <w:t>ModelNet Gateway 技术方案汇报</w:t>
      </w:r>
    </w:p>
    <w:p>
      <w:pPr>
        <w:spacing w:before="280" w:after="160" w:line="264" w:lineRule="auto"/>
      </w:pPr>
      <w:r>
        <w:rPr>
          <w:rFonts w:ascii="Calibri" w:hAnsi="Calibri" w:eastAsia="Microsoft YaHei"/>
          <w:b/>
          <w:i w:val="0"/>
          <w:color w:val="2E74B5"/>
          <w:sz w:val="32"/>
        </w:rPr>
        <w:t>背景与问题</w:t>
      </w:r>
    </w:p>
    <w:p>
      <w:pPr>
        <w:spacing w:before="0" w:after="120" w:line="269" w:lineRule="auto"/>
      </w:pPr>
      <w:r>
        <w:rPr>
          <w:rFonts w:ascii="Calibri" w:hAnsi="Calibri" w:eastAsia="Microsoft YaHei"/>
          <w:b w:val="0"/>
          <w:i w:val="0"/>
          <w:color w:val="1E1E1E"/>
          <w:sz w:val="22"/>
        </w:rPr>
        <w:t>当前 ModelNet ToC 同时面对 LobeHub、LiteLLM、OpenAI-compatible SDK 和自研协作入口。背后模型来源多、部署方式多、健康状态也会变化，如果上层系统直接绑定具体模型，新增、替换、限权、降级和排障都会被分散到业务代码里。</w:t>
      </w:r>
    </w:p>
    <w:p>
      <w:pPr>
        <w:spacing w:before="0" w:after="120" w:line="269" w:lineRule="auto"/>
      </w:pPr>
      <w:r>
        <w:rPr>
          <w:rFonts w:ascii="Calibri" w:hAnsi="Calibri" w:eastAsia="Microsoft YaHei"/>
          <w:b w:val="0"/>
          <w:i w:val="0"/>
          <w:color w:val="1E1E1E"/>
          <w:sz w:val="22"/>
        </w:rPr>
        <w:t>ModelNet Gateway 要解决的核心问题，是把这些差异收敛到统一入口：上层只面向稳定接口，网关负责在平台层完成模型治理、智能分流、多模型协作和可解释排障。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i w:val="0"/>
          <w:color w:val="1E1E1E"/>
          <w:sz w:val="22"/>
        </w:rPr>
        <w:t>把模型接入从“业务逐个对接”转为“平台统一治理”。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i w:val="0"/>
          <w:color w:val="1E1E1E"/>
          <w:sz w:val="22"/>
        </w:rPr>
        <w:t>把请求转发从“固定目标”升级为“按权限、能力、健康和负载动态选择”。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i w:val="0"/>
          <w:color w:val="1E1E1E"/>
          <w:sz w:val="22"/>
        </w:rPr>
        <w:t>把多模型协作从实验代码沉淀为可复用的网关能力。</w:t>
      </w:r>
    </w:p>
    <w:p>
      <w:r>
        <w:br w:type="page"/>
      </w:r>
    </w:p>
    <w:p>
      <w:pPr>
        <w:spacing w:before="280" w:after="160" w:line="264" w:lineRule="auto"/>
      </w:pPr>
      <w:r>
        <w:rPr>
          <w:rFonts w:ascii="Calibri" w:hAnsi="Calibri" w:eastAsia="Microsoft YaHei"/>
          <w:b/>
          <w:i w:val="0"/>
          <w:color w:val="2E74B5"/>
          <w:sz w:val="32"/>
        </w:rPr>
        <w:t>方案框架</w:t>
      </w:r>
    </w:p>
    <w:p>
      <w:pPr>
        <w:spacing w:before="0" w:after="120" w:line="269" w:lineRule="auto"/>
      </w:pPr>
      <w:r>
        <w:rPr>
          <w:rFonts w:ascii="Calibri" w:hAnsi="Calibri" w:eastAsia="Microsoft YaHei"/>
          <w:b w:val="0"/>
          <w:i w:val="0"/>
          <w:color w:val="1E1E1E"/>
          <w:sz w:val="22"/>
        </w:rPr>
        <w:t>方案按“统一入口、协议适配、智能路由、多模型协作、观测治理”五层组织。业务上可以理解为：先把不同调用入口收进来，再把请求转换为统一内部语义，随后根据模型能力和运行状态选择后端，必要时组织多个模型协作，并把过程信息用于排障和复盘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3120"/>
        <w:gridCol w:w="3120"/>
        <w:gridCol w:w="3120"/>
      </w:tblGrid>
      <w:tr>
        <w:tc>
          <w:tcPr>
            <w:tcW w:type="dxa" w:w="1900"/>
            <w:tcMar>
              <w:top w:w="90" w:type="dxa"/>
              <w:start w:w="130" w:type="dxa"/>
              <w:bottom w:w="90" w:type="dxa"/>
              <w:end w:w="130" w:type="dxa"/>
            </w:tcMar>
            <w:shd w:fill="F2F4F7"/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i w:val="0"/>
                <w:color w:val="1E1E1E"/>
                <w:sz w:val="21"/>
              </w:rPr>
              <w:t>能力模块</w:t>
            </w:r>
          </w:p>
        </w:tc>
        <w:tc>
          <w:tcPr>
            <w:tcW w:type="dxa" w:w="3900"/>
            <w:tcMar>
              <w:top w:w="90" w:type="dxa"/>
              <w:start w:w="130" w:type="dxa"/>
              <w:bottom w:w="90" w:type="dxa"/>
              <w:end w:w="130" w:type="dxa"/>
            </w:tcMar>
            <w:shd w:fill="F2F4F7"/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i w:val="0"/>
                <w:color w:val="1E1E1E"/>
                <w:sz w:val="21"/>
              </w:rPr>
              <w:t>负责内容</w:t>
            </w:r>
          </w:p>
        </w:tc>
        <w:tc>
          <w:tcPr>
            <w:tcW w:type="dxa" w:w="3560"/>
            <w:tcMar>
              <w:top w:w="90" w:type="dxa"/>
              <w:start w:w="130" w:type="dxa"/>
              <w:bottom w:w="90" w:type="dxa"/>
              <w:end w:w="130" w:type="dxa"/>
            </w:tcMar>
            <w:shd w:fill="F2F4F7"/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i w:val="0"/>
                <w:color w:val="1E1E1E"/>
                <w:sz w:val="21"/>
              </w:rPr>
              <w:t>业务价值</w:t>
            </w:r>
          </w:p>
        </w:tc>
      </w:tr>
      <w:tr>
        <w:tc>
          <w:tcPr>
            <w:tcW w:type="dxa" w:w="19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71" w:lineRule="auto"/>
            </w:pPr>
            <w:r>
              <w:rPr>
                <w:rFonts w:ascii="Calibri" w:hAnsi="Calibri" w:eastAsia="Microsoft YaHei"/>
                <w:b w:val="0"/>
                <w:i w:val="0"/>
                <w:color w:val="1E1E1E"/>
                <w:sz w:val="21"/>
              </w:rPr>
              <w:t>统一入口</w:t>
            </w:r>
          </w:p>
        </w:tc>
        <w:tc>
          <w:tcPr>
            <w:tcW w:type="dxa" w:w="39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71" w:lineRule="auto"/>
            </w:pPr>
            <w:r>
              <w:rPr>
                <w:rFonts w:ascii="Calibri" w:hAnsi="Calibri" w:eastAsia="Microsoft YaHei"/>
                <w:b w:val="0"/>
                <w:i w:val="0"/>
                <w:color w:val="1E1E1E"/>
                <w:sz w:val="21"/>
              </w:rPr>
              <w:t>承接 LobeHub、LiteLLM、OpenAI-compatible SDK 和 ModelNet Native 请求。</w:t>
            </w:r>
          </w:p>
        </w:tc>
        <w:tc>
          <w:tcPr>
            <w:tcW w:type="dxa" w:w="35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71" w:lineRule="auto"/>
            </w:pPr>
            <w:r>
              <w:rPr>
                <w:rFonts w:ascii="Calibri" w:hAnsi="Calibri" w:eastAsia="Microsoft YaHei"/>
                <w:b w:val="0"/>
                <w:i w:val="0"/>
                <w:color w:val="1E1E1E"/>
                <w:sz w:val="21"/>
              </w:rPr>
              <w:t>上层应用只接一个稳定入口，减少重复适配。</w:t>
            </w:r>
          </w:p>
        </w:tc>
      </w:tr>
      <w:tr>
        <w:tc>
          <w:tcPr>
            <w:tcW w:type="dxa" w:w="19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71" w:lineRule="auto"/>
            </w:pPr>
            <w:r>
              <w:rPr>
                <w:rFonts w:ascii="Calibri" w:hAnsi="Calibri" w:eastAsia="Microsoft YaHei"/>
                <w:b w:val="0"/>
                <w:i w:val="0"/>
                <w:color w:val="1E1E1E"/>
                <w:sz w:val="21"/>
              </w:rPr>
              <w:t>协议适配</w:t>
            </w:r>
          </w:p>
        </w:tc>
        <w:tc>
          <w:tcPr>
            <w:tcW w:type="dxa" w:w="39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71" w:lineRule="auto"/>
            </w:pPr>
            <w:r>
              <w:rPr>
                <w:rFonts w:ascii="Calibri" w:hAnsi="Calibri" w:eastAsia="Microsoft YaHei"/>
                <w:b w:val="0"/>
                <w:i w:val="0"/>
                <w:color w:val="1E1E1E"/>
                <w:sz w:val="21"/>
              </w:rPr>
              <w:t>把不同请求形态收敛成统一内部请求和事件语义。</w:t>
            </w:r>
          </w:p>
        </w:tc>
        <w:tc>
          <w:tcPr>
            <w:tcW w:type="dxa" w:w="35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71" w:lineRule="auto"/>
            </w:pPr>
            <w:r>
              <w:rPr>
                <w:rFonts w:ascii="Calibri" w:hAnsi="Calibri" w:eastAsia="Microsoft YaHei"/>
                <w:b w:val="0"/>
                <w:i w:val="0"/>
                <w:color w:val="1E1E1E"/>
                <w:sz w:val="21"/>
              </w:rPr>
              <w:t>后续新增入口或调整执行策略时，业务侧感知更小。</w:t>
            </w:r>
          </w:p>
        </w:tc>
      </w:tr>
      <w:tr>
        <w:tc>
          <w:tcPr>
            <w:tcW w:type="dxa" w:w="19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71" w:lineRule="auto"/>
            </w:pPr>
            <w:r>
              <w:rPr>
                <w:rFonts w:ascii="Calibri" w:hAnsi="Calibri" w:eastAsia="Microsoft YaHei"/>
                <w:b w:val="0"/>
                <w:i w:val="0"/>
                <w:color w:val="1E1E1E"/>
                <w:sz w:val="21"/>
              </w:rPr>
              <w:t>智能路由</w:t>
            </w:r>
          </w:p>
        </w:tc>
        <w:tc>
          <w:tcPr>
            <w:tcW w:type="dxa" w:w="39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71" w:lineRule="auto"/>
            </w:pPr>
            <w:r>
              <w:rPr>
                <w:rFonts w:ascii="Calibri" w:hAnsi="Calibri" w:eastAsia="Microsoft YaHei"/>
                <w:b w:val="0"/>
                <w:i w:val="0"/>
                <w:color w:val="1E1E1E"/>
                <w:sz w:val="21"/>
              </w:rPr>
              <w:t>结合租户权限、模型能力、健康状态、K8s/Prometheus 负载和失败冷却选择后端。</w:t>
            </w:r>
          </w:p>
        </w:tc>
        <w:tc>
          <w:tcPr>
            <w:tcW w:type="dxa" w:w="35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71" w:lineRule="auto"/>
            </w:pPr>
            <w:r>
              <w:rPr>
                <w:rFonts w:ascii="Calibri" w:hAnsi="Calibri" w:eastAsia="Microsoft YaHei"/>
                <w:b w:val="0"/>
                <w:i w:val="0"/>
                <w:color w:val="1E1E1E"/>
                <w:sz w:val="21"/>
              </w:rPr>
              <w:t>避免请求打到不可用或高负载模型，提高稳定性。</w:t>
            </w:r>
          </w:p>
        </w:tc>
      </w:tr>
      <w:tr>
        <w:tc>
          <w:tcPr>
            <w:tcW w:type="dxa" w:w="19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71" w:lineRule="auto"/>
            </w:pPr>
            <w:r>
              <w:rPr>
                <w:rFonts w:ascii="Calibri" w:hAnsi="Calibri" w:eastAsia="Microsoft YaHei"/>
                <w:b w:val="0"/>
                <w:i w:val="0"/>
                <w:color w:val="1E1E1E"/>
                <w:sz w:val="21"/>
              </w:rPr>
              <w:t>多模型协作</w:t>
            </w:r>
          </w:p>
        </w:tc>
        <w:tc>
          <w:tcPr>
            <w:tcW w:type="dxa" w:w="39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71" w:lineRule="auto"/>
            </w:pPr>
            <w:r>
              <w:rPr>
                <w:rFonts w:ascii="Calibri" w:hAnsi="Calibri" w:eastAsia="Microsoft YaHei"/>
                <w:b w:val="0"/>
                <w:i w:val="0"/>
                <w:color w:val="1E1E1E"/>
                <w:sz w:val="21"/>
              </w:rPr>
              <w:t>支持单模型调用、回答级并行、自动组网和 Claim Graph 验证。</w:t>
            </w:r>
          </w:p>
        </w:tc>
        <w:tc>
          <w:tcPr>
            <w:tcW w:type="dxa" w:w="35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71" w:lineRule="auto"/>
            </w:pPr>
            <w:r>
              <w:rPr>
                <w:rFonts w:ascii="Calibri" w:hAnsi="Calibri" w:eastAsia="Microsoft YaHei"/>
                <w:b w:val="0"/>
                <w:i w:val="0"/>
                <w:color w:val="1E1E1E"/>
                <w:sz w:val="21"/>
              </w:rPr>
              <w:t>复杂问题可以按需升级为多模型协作，而不是固定单模型。</w:t>
            </w:r>
          </w:p>
        </w:tc>
      </w:tr>
      <w:tr>
        <w:tc>
          <w:tcPr>
            <w:tcW w:type="dxa" w:w="19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71" w:lineRule="auto"/>
            </w:pPr>
            <w:r>
              <w:rPr>
                <w:rFonts w:ascii="Calibri" w:hAnsi="Calibri" w:eastAsia="Microsoft YaHei"/>
                <w:b w:val="0"/>
                <w:i w:val="0"/>
                <w:color w:val="1E1E1E"/>
                <w:sz w:val="21"/>
              </w:rPr>
              <w:t>观测治理</w:t>
            </w:r>
          </w:p>
        </w:tc>
        <w:tc>
          <w:tcPr>
            <w:tcW w:type="dxa" w:w="39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71" w:lineRule="auto"/>
            </w:pPr>
            <w:r>
              <w:rPr>
                <w:rFonts w:ascii="Calibri" w:hAnsi="Calibri" w:eastAsia="Microsoft YaHei"/>
                <w:b w:val="0"/>
                <w:i w:val="0"/>
                <w:color w:val="1E1E1E"/>
                <w:sz w:val="21"/>
              </w:rPr>
              <w:t>提供模型能力、健康状态、trace、metrics 和诊断信息。</w:t>
            </w:r>
          </w:p>
        </w:tc>
        <w:tc>
          <w:tcPr>
            <w:tcW w:type="dxa" w:w="35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71" w:lineRule="auto"/>
            </w:pPr>
            <w:r>
              <w:rPr>
                <w:rFonts w:ascii="Calibri" w:hAnsi="Calibri" w:eastAsia="Microsoft YaHei"/>
                <w:b w:val="0"/>
                <w:i w:val="0"/>
                <w:color w:val="1E1E1E"/>
                <w:sz w:val="21"/>
              </w:rPr>
              <w:t>出现问题时能解释为什么选中或跳过某个模型。</w:t>
            </w:r>
          </w:p>
        </w:tc>
      </w:tr>
    </w:tbl>
    <w:p>
      <w:pPr>
        <w:spacing w:before="0" w:after="80" w:line="264" w:lineRule="auto"/>
      </w:pPr>
    </w:p>
    <w:p>
      <w:r>
        <w:br w:type="page"/>
      </w:r>
    </w:p>
    <w:p>
      <w:pPr>
        <w:spacing w:before="280" w:after="160" w:line="264" w:lineRule="auto"/>
      </w:pPr>
      <w:r>
        <w:rPr>
          <w:rFonts w:ascii="Calibri" w:hAnsi="Calibri" w:eastAsia="Microsoft YaHei"/>
          <w:b/>
          <w:i w:val="0"/>
          <w:color w:val="2E74B5"/>
          <w:sz w:val="32"/>
        </w:rPr>
        <w:t>已完成能力与验证结论</w:t>
      </w:r>
    </w:p>
    <w:p>
      <w:pPr>
        <w:spacing w:before="40" w:after="160" w:line="276" w:lineRule="auto"/>
        <w:ind w:left="120" w:right="120"/>
        <w:shd w:fill="F4F6F9"/>
        <w:pBdr>
          <w:top w:val="single" w:sz="6" w:space="5" w:color="D9E2F3"/>
          <w:left w:val="single" w:sz="6" w:space="5" w:color="D9E2F3"/>
          <w:bottom w:val="single" w:sz="6" w:space="5" w:color="D9E2F3"/>
          <w:right w:val="single" w:sz="6" w:space="5" w:color="D9E2F3"/>
        </w:pBdr>
      </w:pPr>
      <w:r>
        <w:rPr>
          <w:rFonts w:ascii="Calibri" w:hAnsi="Calibri" w:eastAsia="Microsoft YaHei"/>
          <w:b/>
          <w:i w:val="0"/>
          <w:color w:val="1F4D78"/>
          <w:sz w:val="22"/>
        </w:rPr>
        <w:t>当前阶段的关键结论是：ModelNet Gateway 已具备统一入口、普通智能路由、基础多模型协作和可观测诊断能力；高级协作策略已经接入框架，但仍需要通过明确业务场景继续灰度验证收益。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3120"/>
        <w:gridCol w:w="3120"/>
        <w:gridCol w:w="3120"/>
      </w:tblGrid>
      <w:tr>
        <w:tc>
          <w:tcPr>
            <w:tcW w:type="dxa" w:w="2100"/>
            <w:tcMar>
              <w:top w:w="90" w:type="dxa"/>
              <w:start w:w="130" w:type="dxa"/>
              <w:bottom w:w="90" w:type="dxa"/>
              <w:end w:w="130" w:type="dxa"/>
            </w:tcMar>
            <w:shd w:fill="F2F4F7"/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i w:val="0"/>
                <w:color w:val="1E1E1E"/>
                <w:sz w:val="21"/>
              </w:rPr>
              <w:t>事项</w:t>
            </w:r>
          </w:p>
        </w:tc>
        <w:tc>
          <w:tcPr>
            <w:tcW w:type="dxa" w:w="2100"/>
            <w:tcMar>
              <w:top w:w="90" w:type="dxa"/>
              <w:start w:w="130" w:type="dxa"/>
              <w:bottom w:w="90" w:type="dxa"/>
              <w:end w:w="130" w:type="dxa"/>
            </w:tcMar>
            <w:shd w:fill="F2F4F7"/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i w:val="0"/>
                <w:color w:val="1E1E1E"/>
                <w:sz w:val="21"/>
              </w:rPr>
              <w:t>完成情况</w:t>
            </w:r>
          </w:p>
        </w:tc>
        <w:tc>
          <w:tcPr>
            <w:tcW w:type="dxa" w:w="5160"/>
            <w:tcMar>
              <w:top w:w="90" w:type="dxa"/>
              <w:start w:w="130" w:type="dxa"/>
              <w:bottom w:w="90" w:type="dxa"/>
              <w:end w:w="130" w:type="dxa"/>
            </w:tcMar>
            <w:shd w:fill="F2F4F7"/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i w:val="0"/>
                <w:color w:val="1E1E1E"/>
                <w:sz w:val="21"/>
              </w:rPr>
              <w:t>说明</w:t>
            </w:r>
          </w:p>
        </w:tc>
      </w:tr>
      <w:tr>
        <w:tc>
          <w:tcPr>
            <w:tcW w:type="dxa" w:w="21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71" w:lineRule="auto"/>
            </w:pPr>
            <w:r>
              <w:rPr>
                <w:rFonts w:ascii="Calibri" w:hAnsi="Calibri" w:eastAsia="Microsoft YaHei"/>
                <w:b w:val="0"/>
                <w:i w:val="0"/>
                <w:color w:val="1E1E1E"/>
                <w:sz w:val="21"/>
              </w:rPr>
              <w:t>OpenAI-compatible 入口</w:t>
            </w:r>
          </w:p>
        </w:tc>
        <w:tc>
          <w:tcPr>
            <w:tcW w:type="dxa" w:w="21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71" w:lineRule="auto"/>
            </w:pPr>
            <w:r>
              <w:rPr>
                <w:rFonts w:ascii="Calibri" w:hAnsi="Calibri" w:eastAsia="Microsoft YaHei"/>
                <w:b w:val="0"/>
                <w:i w:val="0"/>
                <w:color w:val="1E1E1E"/>
                <w:sz w:val="21"/>
              </w:rPr>
              <w:t>已完成</w:t>
            </w:r>
          </w:p>
        </w:tc>
        <w:tc>
          <w:tcPr>
            <w:tcW w:type="dxa" w:w="51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71" w:lineRule="auto"/>
            </w:pPr>
            <w:r>
              <w:rPr>
                <w:rFonts w:ascii="Calibri" w:hAnsi="Calibri" w:eastAsia="Microsoft YaHei"/>
                <w:b w:val="0"/>
                <w:i w:val="0"/>
                <w:color w:val="1E1E1E"/>
                <w:sz w:val="21"/>
              </w:rPr>
              <w:t>可承接现有聊天调用链，适配 LobeHub、LiteLLM 和 SDK 风格请求。</w:t>
            </w:r>
          </w:p>
        </w:tc>
      </w:tr>
      <w:tr>
        <w:tc>
          <w:tcPr>
            <w:tcW w:type="dxa" w:w="21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71" w:lineRule="auto"/>
            </w:pPr>
            <w:r>
              <w:rPr>
                <w:rFonts w:ascii="Calibri" w:hAnsi="Calibri" w:eastAsia="Microsoft YaHei"/>
                <w:b w:val="0"/>
                <w:i w:val="0"/>
                <w:color w:val="1E1E1E"/>
                <w:sz w:val="21"/>
              </w:rPr>
              <w:t>Native 协作入口</w:t>
            </w:r>
          </w:p>
        </w:tc>
        <w:tc>
          <w:tcPr>
            <w:tcW w:type="dxa" w:w="21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71" w:lineRule="auto"/>
            </w:pPr>
            <w:r>
              <w:rPr>
                <w:rFonts w:ascii="Calibri" w:hAnsi="Calibri" w:eastAsia="Microsoft YaHei"/>
                <w:b w:val="0"/>
                <w:i w:val="0"/>
                <w:color w:val="1E1E1E"/>
                <w:sz w:val="21"/>
              </w:rPr>
              <w:t>已完成</w:t>
            </w:r>
          </w:p>
        </w:tc>
        <w:tc>
          <w:tcPr>
            <w:tcW w:type="dxa" w:w="51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71" w:lineRule="auto"/>
            </w:pPr>
            <w:r>
              <w:rPr>
                <w:rFonts w:ascii="Calibri" w:hAnsi="Calibri" w:eastAsia="Microsoft YaHei"/>
                <w:b w:val="0"/>
                <w:i w:val="0"/>
                <w:color w:val="1E1E1E"/>
                <w:sz w:val="21"/>
              </w:rPr>
              <w:t>用于显式控制协作方式、结果流和 trace，服务高级调用场景。</w:t>
            </w:r>
          </w:p>
        </w:tc>
      </w:tr>
      <w:tr>
        <w:tc>
          <w:tcPr>
            <w:tcW w:type="dxa" w:w="21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71" w:lineRule="auto"/>
            </w:pPr>
            <w:r>
              <w:rPr>
                <w:rFonts w:ascii="Calibri" w:hAnsi="Calibri" w:eastAsia="Microsoft YaHei"/>
                <w:b w:val="0"/>
                <w:i w:val="0"/>
                <w:color w:val="1E1E1E"/>
                <w:sz w:val="21"/>
              </w:rPr>
              <w:t>普通路由</w:t>
            </w:r>
          </w:p>
        </w:tc>
        <w:tc>
          <w:tcPr>
            <w:tcW w:type="dxa" w:w="21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71" w:lineRule="auto"/>
            </w:pPr>
            <w:r>
              <w:rPr>
                <w:rFonts w:ascii="Calibri" w:hAnsi="Calibri" w:eastAsia="Microsoft YaHei"/>
                <w:b w:val="0"/>
                <w:i w:val="0"/>
                <w:color w:val="1E1E1E"/>
                <w:sz w:val="21"/>
              </w:rPr>
              <w:t>已完成</w:t>
            </w:r>
          </w:p>
        </w:tc>
        <w:tc>
          <w:tcPr>
            <w:tcW w:type="dxa" w:w="51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71" w:lineRule="auto"/>
            </w:pPr>
            <w:r>
              <w:rPr>
                <w:rFonts w:ascii="Calibri" w:hAnsi="Calibri" w:eastAsia="Microsoft YaHei"/>
                <w:b w:val="0"/>
                <w:i w:val="0"/>
                <w:color w:val="1E1E1E"/>
                <w:sz w:val="21"/>
              </w:rPr>
              <w:t>已支持权限、能力、健康、负载和失败冷却等核心选择条件。</w:t>
            </w:r>
          </w:p>
        </w:tc>
      </w:tr>
      <w:tr>
        <w:tc>
          <w:tcPr>
            <w:tcW w:type="dxa" w:w="21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71" w:lineRule="auto"/>
            </w:pPr>
            <w:r>
              <w:rPr>
                <w:rFonts w:ascii="Calibri" w:hAnsi="Calibri" w:eastAsia="Microsoft YaHei"/>
                <w:b w:val="0"/>
                <w:i w:val="0"/>
                <w:color w:val="1E1E1E"/>
                <w:sz w:val="21"/>
              </w:rPr>
              <w:t>自动组网</w:t>
            </w:r>
          </w:p>
        </w:tc>
        <w:tc>
          <w:tcPr>
            <w:tcW w:type="dxa" w:w="21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71" w:lineRule="auto"/>
            </w:pPr>
            <w:r>
              <w:rPr>
                <w:rFonts w:ascii="Calibri" w:hAnsi="Calibri" w:eastAsia="Microsoft YaHei"/>
                <w:b w:val="0"/>
                <w:i w:val="0"/>
                <w:color w:val="1E1E1E"/>
                <w:sz w:val="21"/>
              </w:rPr>
              <w:t>基础能力已完成</w:t>
            </w:r>
          </w:p>
        </w:tc>
        <w:tc>
          <w:tcPr>
            <w:tcW w:type="dxa" w:w="51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71" w:lineRule="auto"/>
            </w:pPr>
            <w:r>
              <w:rPr>
                <w:rFonts w:ascii="Calibri" w:hAnsi="Calibri" w:eastAsia="Microsoft YaHei"/>
                <w:b w:val="0"/>
                <w:i w:val="0"/>
                <w:color w:val="1E1E1E"/>
                <w:sz w:val="21"/>
              </w:rPr>
              <w:t>modelnet-auto 可根据问题复杂度和资源状态选择单模型或多模型路径。</w:t>
            </w:r>
          </w:p>
        </w:tc>
      </w:tr>
      <w:tr>
        <w:tc>
          <w:tcPr>
            <w:tcW w:type="dxa" w:w="21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71" w:lineRule="auto"/>
            </w:pPr>
            <w:r>
              <w:rPr>
                <w:rFonts w:ascii="Calibri" w:hAnsi="Calibri" w:eastAsia="Microsoft YaHei"/>
                <w:b w:val="0"/>
                <w:i w:val="0"/>
                <w:color w:val="1E1E1E"/>
                <w:sz w:val="21"/>
              </w:rPr>
              <w:t>Claim Graph</w:t>
            </w:r>
          </w:p>
        </w:tc>
        <w:tc>
          <w:tcPr>
            <w:tcW w:type="dxa" w:w="21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71" w:lineRule="auto"/>
            </w:pPr>
            <w:r>
              <w:rPr>
                <w:rFonts w:ascii="Calibri" w:hAnsi="Calibri" w:eastAsia="Microsoft YaHei"/>
                <w:b w:val="0"/>
                <w:i w:val="0"/>
                <w:color w:val="1E1E1E"/>
                <w:sz w:val="21"/>
              </w:rPr>
              <w:t>已有实现</w:t>
            </w:r>
          </w:p>
        </w:tc>
        <w:tc>
          <w:tcPr>
            <w:tcW w:type="dxa" w:w="51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71" w:lineRule="auto"/>
            </w:pPr>
            <w:r>
              <w:rPr>
                <w:rFonts w:ascii="Calibri" w:hAnsi="Calibri" w:eastAsia="Microsoft YaHei"/>
                <w:b w:val="0"/>
                <w:i w:val="0"/>
                <w:color w:val="1E1E1E"/>
                <w:sz w:val="21"/>
              </w:rPr>
              <w:t>支持对关键结论做拆解、验证和保守组装，适合高可靠回答场景。</w:t>
            </w:r>
          </w:p>
        </w:tc>
      </w:tr>
      <w:tr>
        <w:tc>
          <w:tcPr>
            <w:tcW w:type="dxa" w:w="21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71" w:lineRule="auto"/>
            </w:pPr>
            <w:r>
              <w:rPr>
                <w:rFonts w:ascii="Calibri" w:hAnsi="Calibri" w:eastAsia="Microsoft YaHei"/>
                <w:b w:val="0"/>
                <w:i w:val="0"/>
                <w:color w:val="1E1E1E"/>
                <w:sz w:val="21"/>
              </w:rPr>
              <w:t>观测能力</w:t>
            </w:r>
          </w:p>
        </w:tc>
        <w:tc>
          <w:tcPr>
            <w:tcW w:type="dxa" w:w="21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71" w:lineRule="auto"/>
            </w:pPr>
            <w:r>
              <w:rPr>
                <w:rFonts w:ascii="Calibri" w:hAnsi="Calibri" w:eastAsia="Microsoft YaHei"/>
                <w:b w:val="0"/>
                <w:i w:val="0"/>
                <w:color w:val="1E1E1E"/>
                <w:sz w:val="21"/>
              </w:rPr>
              <w:t>基础能力已完成</w:t>
            </w:r>
          </w:p>
        </w:tc>
        <w:tc>
          <w:tcPr>
            <w:tcW w:type="dxa" w:w="51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71" w:lineRule="auto"/>
            </w:pPr>
            <w:r>
              <w:rPr>
                <w:rFonts w:ascii="Calibri" w:hAnsi="Calibri" w:eastAsia="Microsoft YaHei"/>
                <w:b w:val="0"/>
                <w:i w:val="0"/>
                <w:color w:val="1E1E1E"/>
                <w:sz w:val="21"/>
              </w:rPr>
              <w:t>已有能力列表、健康检查、trace、metrics 和诊断信息，后续可产品化成看板。</w:t>
            </w:r>
          </w:p>
        </w:tc>
      </w:tr>
    </w:tbl>
    <w:p>
      <w:pPr>
        <w:spacing w:before="0" w:after="80" w:line="264" w:lineRule="auto"/>
      </w:pPr>
    </w:p>
    <w:p>
      <w:pPr>
        <w:spacing w:before="280" w:after="160" w:line="264" w:lineRule="auto"/>
      </w:pPr>
      <w:r>
        <w:rPr>
          <w:rFonts w:ascii="Calibri" w:hAnsi="Calibri" w:eastAsia="Microsoft YaHei"/>
          <w:b/>
          <w:i w:val="0"/>
          <w:color w:val="2E74B5"/>
          <w:sz w:val="32"/>
        </w:rPr>
        <w:t>能力边界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i w:val="0"/>
          <w:color w:val="1E1E1E"/>
          <w:sz w:val="22"/>
        </w:rPr>
        <w:t>可以支持：统一接入多类模型后端，并对普通聊天请求做健康和负载感知路由。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i w:val="0"/>
          <w:color w:val="1E1E1E"/>
          <w:sz w:val="22"/>
        </w:rPr>
        <w:t>可以支持：在复杂问题上按需使用回答级并行、自动组网和 Claim Graph 等协作策略。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i w:val="0"/>
          <w:color w:val="1E1E1E"/>
          <w:sz w:val="22"/>
        </w:rPr>
        <w:t>需要持续验证：多模型协作带来的质量收益、额外延迟和资源成本之间的平衡。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i w:val="0"/>
          <w:color w:val="1E1E1E"/>
          <w:sz w:val="22"/>
        </w:rPr>
        <w:t>暂不建议承诺：所有模型、所有场景都适合高级协作；部分能力依赖后端是否开放必要信息。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i w:val="0"/>
          <w:color w:val="1E1E1E"/>
          <w:sz w:val="22"/>
        </w:rPr>
        <w:t>当前网关解决的是模型入口和调度治理，不替代完整的模型质量评测体系、成本财务系统或生产运营看板。</w:t>
      </w:r>
    </w:p>
    <w:p>
      <w:pPr>
        <w:spacing w:before="280" w:after="160" w:line="264" w:lineRule="auto"/>
      </w:pPr>
      <w:r>
        <w:rPr>
          <w:rFonts w:ascii="Calibri" w:hAnsi="Calibri" w:eastAsia="Microsoft YaHei"/>
          <w:b/>
          <w:i w:val="0"/>
          <w:color w:val="2E74B5"/>
          <w:sz w:val="32"/>
        </w:rPr>
        <w:t>业务价值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i w:val="0"/>
          <w:color w:val="1E1E1E"/>
          <w:sz w:val="22"/>
        </w:rPr>
        <w:t>接入效率：业务系统面对统一入口，新增或替换模型主要在平台层完成。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i w:val="0"/>
          <w:color w:val="1E1E1E"/>
          <w:sz w:val="22"/>
        </w:rPr>
        <w:t>稳定性：健康检查、负载感知和失败冷却减少请求直接命中异常后端的概率。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i w:val="0"/>
          <w:color w:val="1E1E1E"/>
          <w:sz w:val="22"/>
        </w:rPr>
        <w:t>资源治理：模型权限、能力声明、运行状态和路由策略可以集中管理。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i w:val="0"/>
          <w:color w:val="1E1E1E"/>
          <w:sz w:val="22"/>
        </w:rPr>
        <w:t>质量升级：复杂问题可以从单模型回答升级为多模型协作和关键结论验证。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i w:val="0"/>
          <w:color w:val="1E1E1E"/>
          <w:sz w:val="22"/>
        </w:rPr>
        <w:t>排障效率：trace、metrics 和诊断信息让问题原因更容易被解释和复盘。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 w:eastAsia="Microsoft YaHei"/>
        <w:b w:val="0"/>
        <w:i w:val="0"/>
        <w:color w:val="525252"/>
        <w:sz w:val="18"/>
      </w:rPr>
      <w:t>ModelNet Gateway 技术方案汇报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64" w:lineRule="auto"/>
    </w:pPr>
    <w:r/>
    <w:r>
      <w:rPr>
        <w:rFonts w:ascii="Calibri" w:hAnsi="Calibri" w:eastAsia="Microsoft YaHei"/>
        <w:b w:val="0"/>
        <w:i w:val="0"/>
        <w:color w:val="525252"/>
        <w:sz w:val="18"/>
      </w:rPr>
      <w:t>ModelNet Gateway |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ModelNet Gateway 技术方案汇报</dc:title>
  <dc:subject>结构化简报版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