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77C4E">
      <w:pPr>
        <w:jc w:val="center"/>
      </w:pPr>
    </w:p>
    <w:p w14:paraId="6DE12FCC">
      <w:pPr>
        <w:jc w:val="center"/>
      </w:pPr>
    </w:p>
    <w:p w14:paraId="20962F4D">
      <w:pPr>
        <w:spacing w:before="240" w:after="120" w:line="360" w:lineRule="auto"/>
        <w:jc w:val="center"/>
        <w:rPr>
          <w:rFonts w:ascii="Times New Roman" w:hAnsi="Times New Roman" w:eastAsia="黑体" w:cs="Times New Roman"/>
          <w:b/>
          <w:bCs/>
          <w:sz w:val="36"/>
          <w:szCs w:val="36"/>
        </w:rPr>
      </w:pPr>
      <w:r>
        <w:rPr>
          <w:rFonts w:ascii="Times New Roman" w:hAnsi="Times New Roman" w:eastAsia="黑体" w:cs="Times New Roman"/>
          <w:b/>
          <w:bCs/>
          <w:sz w:val="36"/>
          <w:szCs w:val="36"/>
        </w:rPr>
        <w:t>基于多特征融合与LSTM的人体摔倒智能检测系统研究</w:t>
      </w:r>
    </w:p>
    <w:p w14:paraId="59A0FD03">
      <w:pPr>
        <w:jc w:val="center"/>
      </w:pPr>
    </w:p>
    <w:p w14:paraId="7004852E">
      <w:pPr>
        <w:jc w:val="center"/>
      </w:pPr>
    </w:p>
    <w:p w14:paraId="087DD846">
      <w:r>
        <w:br w:type="page"/>
      </w:r>
    </w:p>
    <w:p w14:paraId="27D3C8F7">
      <w:pPr>
        <w:spacing w:before="240" w:after="120" w:line="360" w:lineRule="auto"/>
        <w:jc w:val="center"/>
        <w:rPr>
          <w:rFonts w:ascii="Times New Roman" w:hAnsi="Times New Roman" w:eastAsia="黑体" w:cs="Times New Roman"/>
          <w:b/>
          <w:bCs/>
          <w:sz w:val="32"/>
          <w:szCs w:val="32"/>
        </w:rPr>
      </w:pPr>
      <w:r>
        <w:rPr>
          <w:rFonts w:ascii="Times New Roman" w:hAnsi="Times New Roman" w:eastAsia="黑体" w:cs="Times New Roman"/>
          <w:b/>
          <w:bCs/>
          <w:sz w:val="32"/>
          <w:szCs w:val="32"/>
        </w:rPr>
        <w:t>摘要</w:t>
      </w:r>
    </w:p>
    <w:p w14:paraId="30777F9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随着全球人口老龄化趋势加剧，老年人意外摔倒引发的伤害问题已成为重要的公共健康议题。及时检测摔倒事件并发出警报，对于降低老年人摔倒后的伤害程度具有关键意义。本文提出一种基于多特征融合与长短期记忆网络（LSTM）的人体摔倒智能检测系统。该系统以YOLOv8 Pose为核心进行人体姿态估计，从视频序列中提取宽高比、躯干倾角、质心运动速度、关节角度及脊柱矢量等多维度特征，构建10维特征向量表征人体运动状态，并将其输入基于双向LSTM（BiLSTM）与双向GRU（BiGRU）的混合时序分类器，结合双向多头自注意力机制（Bidirectional Multi-Head Attention）实现摔倒判定。针对训练数据中严重的类别不平衡问题（Normal样本294例 vs. Fall样本79例，约3.7:1），本文采用Focal Loss（α=2.0, γ=2.0）作为损失函数，有效聚焦困难样本；同时采用SMOTE过采样将Fall类扩充至与Normal类1:1配平。在UR Fall Detection Dataset测试集（108例样本）上，进一步通过集成学习融合高精确率模型（启用数据增强）与高召回率模型（无数据增强），采用软投票策略（阈值=0.70），最终系统达到精确率</w:t>
      </w:r>
      <w:r>
        <w:rPr>
          <w:rFonts w:hint="eastAsia" w:ascii="Times New Roman" w:hAnsi="Times New Roman" w:cs="Times New Roman"/>
          <w:sz w:val="24"/>
          <w:szCs w:val="24"/>
          <w:lang w:val="en-US" w:eastAsia="zh-CN"/>
        </w:rPr>
        <w:t>77.78</w:t>
      </w:r>
      <w:r>
        <w:rPr>
          <w:rFonts w:ascii="Times New Roman" w:hAnsi="Times New Roman" w:eastAsia="宋体" w:cs="Times New Roman"/>
          <w:sz w:val="24"/>
          <w:szCs w:val="24"/>
        </w:rPr>
        <w:t>%、召回率8</w:t>
      </w:r>
      <w:r>
        <w:rPr>
          <w:rFonts w:hint="eastAsia" w:ascii="Times New Roman" w:hAnsi="Times New Roman" w:cs="Times New Roman"/>
          <w:sz w:val="24"/>
          <w:szCs w:val="24"/>
          <w:lang w:val="en-US" w:eastAsia="zh-CN"/>
        </w:rPr>
        <w:t>8.89</w:t>
      </w:r>
      <w:r>
        <w:rPr>
          <w:rFonts w:ascii="Times New Roman" w:hAnsi="Times New Roman" w:eastAsia="宋体" w:cs="Times New Roman"/>
          <w:sz w:val="24"/>
          <w:szCs w:val="24"/>
        </w:rPr>
        <w:t>%、F1分数</w:t>
      </w:r>
      <w:r>
        <w:rPr>
          <w:rFonts w:hint="eastAsia" w:ascii="Times New Roman" w:hAnsi="Times New Roman" w:cs="Times New Roman"/>
          <w:sz w:val="24"/>
          <w:szCs w:val="24"/>
          <w:lang w:val="en-US" w:eastAsia="zh-CN"/>
        </w:rPr>
        <w:t>82.35</w:t>
      </w:r>
      <w:r>
        <w:rPr>
          <w:rFonts w:ascii="Times New Roman" w:hAnsi="Times New Roman" w:eastAsia="宋体" w:cs="Times New Roman"/>
          <w:sz w:val="24"/>
          <w:szCs w:val="24"/>
        </w:rPr>
        <w:t>%、AUC-ROC</w:t>
      </w:r>
      <w:r>
        <w:rPr>
          <w:rFonts w:hint="eastAsia" w:ascii="Times New Roman" w:hAnsi="Times New Roman" w:cs="Times New Roman"/>
          <w:sz w:val="24"/>
          <w:szCs w:val="24"/>
          <w:lang w:val="en-US" w:eastAsia="zh-CN"/>
        </w:rPr>
        <w:t xml:space="preserve"> </w:t>
      </w:r>
      <w:r>
        <w:rPr>
          <w:rFonts w:ascii="Times New Roman" w:hAnsi="Times New Roman" w:eastAsia="宋体" w:cs="Times New Roman"/>
          <w:sz w:val="24"/>
          <w:szCs w:val="24"/>
        </w:rPr>
        <w:t>0.9</w:t>
      </w:r>
      <w:r>
        <w:rPr>
          <w:rFonts w:hint="eastAsia" w:ascii="Times New Roman" w:hAnsi="Times New Roman" w:cs="Times New Roman"/>
          <w:sz w:val="24"/>
          <w:szCs w:val="24"/>
          <w:lang w:val="en-US" w:eastAsia="zh-CN"/>
        </w:rPr>
        <w:t>25</w:t>
      </w:r>
      <w:r>
        <w:rPr>
          <w:rFonts w:ascii="Times New Roman" w:hAnsi="Times New Roman" w:eastAsia="宋体" w:cs="Times New Roman"/>
          <w:sz w:val="24"/>
          <w:szCs w:val="24"/>
        </w:rPr>
        <w:t>的性能表现。</w:t>
      </w:r>
    </w:p>
    <w:p w14:paraId="28279F16">
      <w:pPr>
        <w:spacing w:before="120" w:after="120" w:line="360" w:lineRule="auto"/>
        <w:ind w:firstLine="480"/>
        <w:jc w:val="left"/>
      </w:pPr>
      <w:r>
        <w:rPr>
          <w:rFonts w:ascii="Times New Roman" w:hAnsi="Times New Roman" w:eastAsia="黑体" w:cs="Times New Roman"/>
          <w:b/>
          <w:bCs/>
          <w:sz w:val="24"/>
          <w:szCs w:val="24"/>
        </w:rPr>
        <w:t>关键词：摔倒检测；姿态估计；多特征融合；BiLSTM；BiGRU；注意力机制；Focal Loss；SMOTE；集成学习</w:t>
      </w:r>
    </w:p>
    <w:p w14:paraId="7B10529F">
      <w:r>
        <w:br w:type="page"/>
      </w:r>
    </w:p>
    <w:p w14:paraId="3DC28E54">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一．</w:t>
      </w:r>
      <w:r>
        <w:rPr>
          <w:rFonts w:ascii="Times New Roman" w:hAnsi="Times New Roman" w:eastAsia="黑体" w:cs="Times New Roman"/>
          <w:b/>
          <w:bCs/>
          <w:sz w:val="32"/>
          <w:szCs w:val="32"/>
        </w:rPr>
        <w:t>引言</w:t>
      </w:r>
    </w:p>
    <w:p w14:paraId="4B0F4F17">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1.1 研究背景与意义</w:t>
      </w:r>
    </w:p>
    <w:p w14:paraId="2732392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摔倒（Fall）是导致老年人意外伤害和死亡的主要原因之一。据世界卫生组织（WHO）统计，全球每年约有6.46亿老年人（65岁及以上）发生摔倒事件，摔倒相关伤害已成为老年人意外伤害的首要病因。更为严峻的是，摔倒发生后的"地板效应"（Lying on the Floor）——即老年人摔倒后长时间无法自行站起——会显著加剧伤害程度。研究表明，摔倒后1小时内获得救助的老年人，其康复效果显著优于延迟救助者。因此，摔倒的及时检测与快速响应是老年人安全监护系统的核心需求。</w:t>
      </w:r>
    </w:p>
    <w:p w14:paraId="507944B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传统的摔倒检测方法主要依赖可穿戴传感器（如加速度计、陀螺仪），然而此类方案存在明显缺陷：老年人容易遗忘佩戴传感器，且长期佩戴带来的不适感降低了依从性。相比之下，基于计算机视觉的非接触式检测方案具有自然、无侵入的优势，近年来成为研究热点。</w:t>
      </w:r>
    </w:p>
    <w:p w14:paraId="7E4AD719">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1.2 现有技术路线分析</w:t>
      </w:r>
    </w:p>
    <w:p w14:paraId="4C8FA41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目前，基于视觉的摔倒检测技术主要分为三大类：</w:t>
      </w:r>
    </w:p>
    <w:p w14:paraId="5FCEE3B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第一类：基于视频帧图像分类的端到端深度学习方法。该方法将每一帧或每一段视频直接输入卷积神经网络（CNN）或3D卷积网络（C3D/I3D）进行二分类判定。其优势在于端到端训练、可学习复杂模式；然而缺点同样明显——需要大量标注数据（通常需要数万至数十万张标注图像），且对计算资源要求高，难以在CPU环境下实时运行。</w:t>
      </w:r>
    </w:p>
    <w:p w14:paraId="7DAAD48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第二类：基于人体检测框（Bounding Box）几何特征的规则方法。该方法首先利用YOLO等目标检测器定位人体，再计算其外接矩形的宽高比、倾斜角度等几何特征，通过预设阈值规则判定是否摔倒。该方法计算效率较高，但对摄像头视角和光照条件敏感，且难以区分"蹲下"与"摔倒"等近似姿态。</w:t>
      </w:r>
    </w:p>
    <w:p w14:paraId="07289E1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第三类：基于人体姿态估计的时序建模方法。该方法利用OpenPose、MediaPipe、YOLOv8 Pose等姿态估计工具提取人体骨骼关键点，将关键点序列作为时序模型的输入，通过学习时间维度的动态模式判断摔倒事件。这一方法兼具较高的检测精度和良好的可解释性，是当前学术研究的主流方向。</w:t>
      </w:r>
    </w:p>
    <w:p w14:paraId="4331D3FB">
      <w:pPr>
        <w:spacing w:before="120" w:after="60" w:line="360" w:lineRule="auto"/>
        <w:jc w:val="center"/>
      </w:pPr>
      <w:r>
        <w:drawing>
          <wp:inline distT="0" distB="0" distL="114300" distR="114300">
            <wp:extent cx="5538470" cy="3955415"/>
            <wp:effectExtent l="0" t="0" r="1143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8123"/>
                    <a:stretch>
                      <a:fillRect/>
                    </a:stretch>
                  </pic:blipFill>
                  <pic:spPr>
                    <a:xfrm>
                      <a:off x="0" y="0"/>
                      <a:ext cx="5538470" cy="3955415"/>
                    </a:xfrm>
                    <a:prstGeom prst="rect">
                      <a:avLst/>
                    </a:prstGeom>
                  </pic:spPr>
                </pic:pic>
              </a:graphicData>
            </a:graphic>
          </wp:inline>
        </w:drawing>
      </w:r>
    </w:p>
    <w:p w14:paraId="42E2565B">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图1-2 三种技术路线对比</w:t>
      </w:r>
    </w:p>
    <w:p w14:paraId="4F4D112C">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1.3 本文贡献</w:t>
      </w:r>
    </w:p>
    <w:p w14:paraId="1F5B568F">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本文在第三类方法的基础上，提出一种融合多维特征与混合时序模型的人体摔倒检测系统，主要贡献如下：</w:t>
      </w:r>
    </w:p>
    <w:p w14:paraId="527C93F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（1）多特征融合设计：整合宽高比、躯干倾角、质心速度比、关节角度、脊柱矢量等五套特征方案，构建统一的10维特征向量，从几何形状、运动动力学、关节姿态和矢量方向四个维度全面表征人体运动状态。</w:t>
      </w:r>
    </w:p>
    <w:p w14:paraId="53F6939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（2）混合时序架构：设计BiLSTM + BiGRU + 双向多头自注意力的混合模型架构（EnhancedFallDetector），共约150万参数，在保持时序建模能力的同时显著提升对关键帧的聚焦能力。</w:t>
      </w:r>
    </w:p>
    <w:p w14:paraId="625DB01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（3）类别不平衡处理：采用Focal Loss（α=2.0, γ=2.0）配合SMOTE过采样（1:1配平），有效解决训练数据中Normal与Fall样本比例约3.7:1的类别不平衡问题，使模型在Recall与Precision之间取得更优平衡。</w:t>
      </w:r>
    </w:p>
    <w:p w14:paraId="5120682D">
      <w:pPr>
        <w:spacing w:line="360" w:lineRule="auto"/>
        <w:ind w:firstLine="480"/>
        <w:jc w:val="both"/>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（4）集成学习优化：通过组合启用数据增强的高精确率模型与无数据增强的高召回率模型，采用软投票集成策略</w:t>
      </w:r>
      <w:r>
        <w:rPr>
          <w:rFonts w:hint="eastAsia" w:ascii="Times New Roman" w:hAnsi="Times New Roman" w:cs="Times New Roman"/>
          <w:sz w:val="24"/>
          <w:szCs w:val="24"/>
          <w:lang w:eastAsia="zh-CN"/>
        </w:rPr>
        <w:t>。</w:t>
      </w:r>
    </w:p>
    <w:p w14:paraId="097DE405">
      <w:pPr>
        <w:spacing w:before="480" w:after="360" w:line="360" w:lineRule="auto"/>
        <w:jc w:val="both"/>
        <w:rPr>
          <w:rFonts w:hint="eastAsia" w:ascii="Times New Roman" w:hAnsi="Times New Roman" w:eastAsia="黑体" w:cs="Times New Roman"/>
          <w:b/>
          <w:bCs/>
          <w:sz w:val="32"/>
          <w:szCs w:val="32"/>
          <w:lang w:val="en-US" w:eastAsia="zh-CN"/>
        </w:rPr>
      </w:pPr>
    </w:p>
    <w:p w14:paraId="219B2CF8">
      <w:pPr>
        <w:spacing w:before="480" w:after="360" w:line="360" w:lineRule="auto"/>
        <w:jc w:val="both"/>
        <w:rPr>
          <w:rFonts w:hint="eastAsia" w:ascii="Times New Roman" w:hAnsi="Times New Roman" w:eastAsia="黑体" w:cs="Times New Roman"/>
          <w:b/>
          <w:bCs/>
          <w:sz w:val="32"/>
          <w:szCs w:val="32"/>
          <w:lang w:val="en-US" w:eastAsia="zh-CN"/>
        </w:rPr>
      </w:pPr>
    </w:p>
    <w:p w14:paraId="2EF61D55">
      <w:pPr>
        <w:spacing w:before="480" w:after="360" w:line="360" w:lineRule="auto"/>
        <w:jc w:val="both"/>
        <w:rPr>
          <w:rFonts w:hint="eastAsia" w:ascii="Times New Roman" w:hAnsi="Times New Roman" w:eastAsia="黑体" w:cs="Times New Roman"/>
          <w:b/>
          <w:bCs/>
          <w:sz w:val="32"/>
          <w:szCs w:val="32"/>
          <w:lang w:val="en-US" w:eastAsia="zh-CN"/>
        </w:rPr>
      </w:pPr>
    </w:p>
    <w:p w14:paraId="1B3E9080">
      <w:pPr>
        <w:spacing w:before="480" w:after="360" w:line="360" w:lineRule="auto"/>
        <w:jc w:val="both"/>
        <w:rPr>
          <w:rFonts w:hint="eastAsia" w:ascii="Times New Roman" w:hAnsi="Times New Roman" w:eastAsia="黑体" w:cs="Times New Roman"/>
          <w:b/>
          <w:bCs/>
          <w:sz w:val="32"/>
          <w:szCs w:val="32"/>
          <w:lang w:val="en-US" w:eastAsia="zh-CN"/>
        </w:rPr>
      </w:pPr>
    </w:p>
    <w:p w14:paraId="22DB2155">
      <w:pPr>
        <w:spacing w:before="480" w:after="360" w:line="360" w:lineRule="auto"/>
        <w:jc w:val="both"/>
        <w:rPr>
          <w:rFonts w:hint="eastAsia" w:ascii="Times New Roman" w:hAnsi="Times New Roman" w:eastAsia="黑体" w:cs="Times New Roman"/>
          <w:b/>
          <w:bCs/>
          <w:sz w:val="32"/>
          <w:szCs w:val="32"/>
          <w:lang w:val="en-US" w:eastAsia="zh-CN"/>
        </w:rPr>
      </w:pPr>
    </w:p>
    <w:p w14:paraId="0C1ED0AC">
      <w:pPr>
        <w:spacing w:before="480" w:after="360" w:line="360" w:lineRule="auto"/>
        <w:jc w:val="both"/>
        <w:rPr>
          <w:rFonts w:hint="eastAsia" w:ascii="Times New Roman" w:hAnsi="Times New Roman" w:eastAsia="黑体" w:cs="Times New Roman"/>
          <w:b/>
          <w:bCs/>
          <w:sz w:val="32"/>
          <w:szCs w:val="32"/>
          <w:lang w:val="en-US" w:eastAsia="zh-CN"/>
        </w:rPr>
      </w:pPr>
    </w:p>
    <w:p w14:paraId="5A47C5D7">
      <w:pPr>
        <w:spacing w:before="480" w:after="360" w:line="360" w:lineRule="auto"/>
        <w:jc w:val="both"/>
        <w:rPr>
          <w:rFonts w:hint="eastAsia" w:ascii="Times New Roman" w:hAnsi="Times New Roman" w:eastAsia="黑体" w:cs="Times New Roman"/>
          <w:b/>
          <w:bCs/>
          <w:sz w:val="32"/>
          <w:szCs w:val="32"/>
          <w:lang w:val="en-US" w:eastAsia="zh-CN"/>
        </w:rPr>
      </w:pPr>
    </w:p>
    <w:p w14:paraId="28D2DE5D">
      <w:pPr>
        <w:spacing w:before="480" w:after="360" w:line="360" w:lineRule="auto"/>
        <w:jc w:val="both"/>
        <w:rPr>
          <w:rFonts w:hint="eastAsia" w:ascii="Times New Roman" w:hAnsi="Times New Roman" w:eastAsia="黑体" w:cs="Times New Roman"/>
          <w:b/>
          <w:bCs/>
          <w:sz w:val="32"/>
          <w:szCs w:val="32"/>
          <w:lang w:val="en-US" w:eastAsia="zh-CN"/>
        </w:rPr>
      </w:pPr>
    </w:p>
    <w:p w14:paraId="674C92D1">
      <w:pPr>
        <w:spacing w:before="480" w:after="360" w:line="360" w:lineRule="auto"/>
        <w:jc w:val="both"/>
        <w:rPr>
          <w:rFonts w:hint="eastAsia" w:ascii="Times New Roman" w:hAnsi="Times New Roman" w:eastAsia="黑体" w:cs="Times New Roman"/>
          <w:b/>
          <w:bCs/>
          <w:sz w:val="32"/>
          <w:szCs w:val="32"/>
          <w:lang w:val="en-US" w:eastAsia="zh-CN"/>
        </w:rPr>
      </w:pPr>
    </w:p>
    <w:p w14:paraId="01581D2A">
      <w:pPr>
        <w:spacing w:before="480" w:after="360" w:line="360" w:lineRule="auto"/>
        <w:jc w:val="both"/>
        <w:rPr>
          <w:rFonts w:hint="eastAsia" w:ascii="Times New Roman" w:hAnsi="Times New Roman" w:eastAsia="黑体" w:cs="Times New Roman"/>
          <w:b/>
          <w:bCs/>
          <w:sz w:val="32"/>
          <w:szCs w:val="32"/>
          <w:lang w:val="en-US" w:eastAsia="zh-CN"/>
        </w:rPr>
      </w:pPr>
    </w:p>
    <w:p w14:paraId="2C53851D">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二.</w:t>
      </w:r>
      <w:r>
        <w:rPr>
          <w:rFonts w:ascii="Times New Roman" w:hAnsi="Times New Roman" w:eastAsia="黑体" w:cs="Times New Roman"/>
          <w:b/>
          <w:bCs/>
          <w:sz w:val="32"/>
          <w:szCs w:val="32"/>
        </w:rPr>
        <w:t>相关工作与技术基础</w:t>
      </w:r>
    </w:p>
    <w:p w14:paraId="59F1D0FF">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2.1 人体姿态估计技术</w:t>
      </w:r>
    </w:p>
    <w:p w14:paraId="7CCEC6A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人体姿态估计（Human Pose Estimation, HPE）是计算机视觉的基础任务之一，旨在从图像或视频中定位人体关键点（如头部、肩膀、髋部、膝盖、脚踝等）。</w:t>
      </w:r>
    </w:p>
    <w:p w14:paraId="39FB0F0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YOLOv8 Pose（Ultralytics，2023）是YOLO系列的目标检测模型在姿态估计领域的延伸，在提供人体边界框的同时输出17个COCO标准关键点。YOLOv8 Pose在保持YOLO系列高速推理优势的同时，关键点检测精度与OpenPose相当，且原生支持ONNX导出，可在CPU环境下高效运行。</w:t>
      </w:r>
    </w:p>
    <w:p w14:paraId="064A080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MediaPipe Pose（Google，2020）是面向实时应用的轻量级解决方案，输出33个身体关键点（含面部和手部关键点），且自带关键点置信度分数（visibility）。</w:t>
      </w:r>
    </w:p>
    <w:p w14:paraId="1ABCDB5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OpenPose（卡内基梅隆大学，2019）支持从2D图像中提取最多25个人体关键点，精度高但计算量大。</w:t>
      </w:r>
    </w:p>
    <w:p w14:paraId="04C8BFD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HRNet（微软研究院，2019）通过维持高分辨率表征并行多尺度子网络，在COCO等公开数据集上取得了领先的精度，但推理速度较慢。</w:t>
      </w:r>
    </w:p>
    <w:p w14:paraId="08999AA6">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2.2 摔倒检测方法综述</w:t>
      </w:r>
    </w:p>
    <w:p w14:paraId="5735961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基于可穿戴传感器的方法：利用加速度计、陀螺仪、压力传感器等设备采集人体运动数据，通过阈值判定或机器学习分类实现检测。优点是不受视觉遮挡影响，缺点是依赖设备佩戴，依从性低。</w:t>
      </w:r>
    </w:p>
    <w:p w14:paraId="3C9CF8A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基于环境传感器的方法：利用红外阵列、压力地板、雷达等感知人体存在与运动状态。</w:t>
      </w:r>
    </w:p>
    <w:p w14:paraId="0930E04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基于视觉的方法：通过摄像头采集视频，利用计算机视觉技术分析人体姿态与运动模式，分为：①基于背景建模的方法；②基于外观特征的方法；③基于姿态估计的方法。其中，第三类方法因兼具精度与可解释性，成为当前研究的主流方向。</w:t>
      </w:r>
    </w:p>
    <w:p w14:paraId="438C9700">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2.3 时序建模方法</w:t>
      </w:r>
    </w:p>
    <w:p w14:paraId="2876856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摔倒是一种典型的时序事件，从站立到失衡再到倒地，涉及多帧连续变化。时序建模方法能够捕捉帧间的动态依赖关系。</w:t>
      </w:r>
    </w:p>
    <w:p w14:paraId="06401A1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循环神经网络（RNN）：存在梯度消失问题，对长序列建模能力有限。</w:t>
      </w:r>
    </w:p>
    <w:p w14:paraId="13FF6E0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长短期记忆网络（LSTM）：通过引入门控机制有效解决长序列依赖问题，BiLSTM同时建模前向和后向的时序依赖。</w:t>
      </w:r>
    </w:p>
    <w:p w14:paraId="0B8A8DD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门控循环单元（GRU）：是LSTM的简化变体，参数量更少，在数据量较小时训练更稳定。</w:t>
      </w:r>
    </w:p>
    <w:p w14:paraId="5D33F89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自注意力机制（Self-Attention）：通过计算序列中各位置之间的相关性权重，实现全局依赖建模。多头注意力将注意力分散到多个子空间。</w:t>
      </w:r>
    </w:p>
    <w:p w14:paraId="5E93C904">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Transformer：通过自注意力机制建模序列依赖，FALLNET（2023，IEEE）验证了CNN-Attention-LSTM架构在摔倒检测任务上的有效性。</w:t>
      </w:r>
    </w:p>
    <w:p w14:paraId="5C4BE6B4">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2.4 类别不平衡处理技术</w:t>
      </w:r>
    </w:p>
    <w:p w14:paraId="2B0C527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Focal Loss（Lin等，2017，ICCV）通过引入调制因子(1-p_t)^γ降低易分类样本的损失权重，将学习焦点聚焦于困难样本。</w:t>
      </w:r>
    </w:p>
    <w:p w14:paraId="44DDB1F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SMOTE（Chawla等，2002）是一种过采样技术，通过在少数类样本的特征空间中进行插值合成新的少数类样本。</w:t>
      </w:r>
    </w:p>
    <w:p w14:paraId="75C32DB2">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2.5 摔倒检测数据集</w:t>
      </w:r>
    </w:p>
    <w:p w14:paraId="40730D0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UR Fall Detection Dataset（URFD）：由University of Texas创建，包含70个摔倒视频和70个非摔倒视频，同时提供RGB视频和深度图，是摔倒检测领域最广泛使用的数据集之一。本文即采用该数据集进行实验。</w:t>
      </w:r>
    </w:p>
    <w:p w14:paraId="71CBB23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FALL-UP Dataset：包含多种类型的摔倒动作，覆盖不同人群、场景和摔倒方式。</w:t>
      </w:r>
    </w:p>
    <w:p w14:paraId="56AC7E8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FDD Dataset（Le2i Fall Detection）：包含多个摄像头角度的室内场景视频。</w:t>
      </w:r>
    </w:p>
    <w:p w14:paraId="78279ECD">
      <w:r>
        <w:br w:type="page"/>
      </w:r>
    </w:p>
    <w:p w14:paraId="170B12FF">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三.</w:t>
      </w:r>
      <w:r>
        <w:rPr>
          <w:rFonts w:ascii="Times New Roman" w:hAnsi="Times New Roman" w:eastAsia="黑体" w:cs="Times New Roman"/>
          <w:b/>
          <w:bCs/>
          <w:sz w:val="32"/>
          <w:szCs w:val="32"/>
        </w:rPr>
        <w:t>系统整体架构</w:t>
      </w:r>
    </w:p>
    <w:p w14:paraId="18A61534">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3.1 架构概述</w:t>
      </w:r>
    </w:p>
    <w:p w14:paraId="285E3E7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本文提出的摔倒检测系统遵循"视频输入→姿态估计→特征提取→时序建模→摔倒判定"的Pipeline架构，共分为六个核心模块：</w:t>
      </w:r>
    </w:p>
    <w:p w14:paraId="6637A21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视频输入模块：支持实时摄像头视频流和本地视频文件两种来源</w:t>
      </w:r>
    </w:p>
    <w:p w14:paraId="171354E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姿态估计模块：YOLOv8 Pose提取17个COCO标准人体关键点</w:t>
      </w:r>
    </w:p>
    <w:p w14:paraId="78B0F0F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特征提取模块：从关键点计算10维特征向量</w:t>
      </w:r>
    </w:p>
    <w:p w14:paraId="06F6630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序列构建模块：滑动窗口策略，窗口长度T=20，50%重叠</w:t>
      </w:r>
    </w:p>
    <w:p w14:paraId="2B105CDD">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时序建模模块：BiLSTM-BiGRU-Attention混合分类器</w:t>
      </w:r>
    </w:p>
    <w:p w14:paraId="58D53BA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集成推理模块：软投票集成两个不同训练配置的模型</w:t>
      </w:r>
    </w:p>
    <w:p w14:paraId="50AA2053">
      <w:pPr>
        <w:spacing w:before="120" w:after="60" w:line="360" w:lineRule="auto"/>
        <w:jc w:val="center"/>
      </w:pPr>
    </w:p>
    <w:p w14:paraId="4C156E7E">
      <w:pPr>
        <w:spacing w:before="60" w:after="60" w:line="360" w:lineRule="auto"/>
        <w:jc w:val="center"/>
        <w:rPr>
          <w:rFonts w:ascii="Times New Roman" w:hAnsi="Times New Roman" w:eastAsia="宋体" w:cs="Times New Roman"/>
          <w:sz w:val="21"/>
          <w:szCs w:val="21"/>
        </w:rPr>
      </w:pPr>
      <w:r>
        <w:drawing>
          <wp:inline distT="0" distB="0" distL="114300" distR="114300">
            <wp:extent cx="6035040" cy="3697605"/>
            <wp:effectExtent l="0" t="0" r="1016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5040" cy="3697605"/>
                    </a:xfrm>
                    <a:prstGeom prst="rect">
                      <a:avLst/>
                    </a:prstGeom>
                  </pic:spPr>
                </pic:pic>
              </a:graphicData>
            </a:graphic>
          </wp:inline>
        </w:drawing>
      </w:r>
      <w:r>
        <w:rPr>
          <w:rFonts w:ascii="Times New Roman" w:hAnsi="Times New Roman" w:eastAsia="宋体" w:cs="Times New Roman"/>
          <w:sz w:val="21"/>
          <w:szCs w:val="21"/>
        </w:rPr>
        <w:t>图3-1 系统整体架构图</w:t>
      </w:r>
    </w:p>
    <w:p w14:paraId="3887FDC5">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3.2 系统数据流</w:t>
      </w:r>
    </w:p>
    <w:p w14:paraId="2D84B2E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视频输入 → OpenCV视频读取 → YOLOv8 Pose姿态估计（17个COCO关键点）→ 多维特征提取（10维向量）→ 滑动窗口序列构建（窗口长度T=20）→ BiLSTM-BiGRU-Attention时序建模 → Focal Loss分类 → 摔倒概率输出 → 集成推理（软投票）→ 最终判定</w:t>
      </w:r>
    </w:p>
    <w:p w14:paraId="59513CBA">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3.3 人体姿态估计模块</w:t>
      </w:r>
    </w:p>
    <w:p w14:paraId="7C8077C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本文选用YOLOv8 Pose作为姿态估计工具：（1）高速推理：YOLOv8n-pose（nano版本）在普通CPU上即可达到实时（≥25fps），无需GPU支持；（2）关键点丰富：输出17个COCO标准人体关键点，覆盖头部、躯干、四肢；（3）原生整合：与YOLOv8目标检测共用Backbone，无需额外的目标检测模型；（4）端侧部署友好：支持ONNX和TorchScript导出，可在移动端和嵌入式设备上高效部署。</w:t>
      </w:r>
    </w:p>
    <w:p w14:paraId="63D0295B">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3.4 特征提取模块</w:t>
      </w:r>
    </w:p>
    <w:p w14:paraId="2A1DC19F">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从YOLOv8 Pose输出的17个关键点坐标出发，本文设计了一套多维特征融合方法，构建统一的10维特征向量（详见第</w:t>
      </w:r>
      <w:r>
        <w:rPr>
          <w:rFonts w:hint="eastAsia" w:ascii="Times New Roman" w:hAnsi="Times New Roman" w:cs="Times New Roman"/>
          <w:sz w:val="24"/>
          <w:szCs w:val="24"/>
          <w:lang w:val="en-US" w:eastAsia="zh-CN"/>
        </w:rPr>
        <w:t>四</w:t>
      </w:r>
      <w:bookmarkStart w:id="0" w:name="_GoBack"/>
      <w:bookmarkEnd w:id="0"/>
      <w:r>
        <w:rPr>
          <w:rFonts w:ascii="Times New Roman" w:hAnsi="Times New Roman" w:eastAsia="宋体" w:cs="Times New Roman"/>
          <w:sz w:val="24"/>
          <w:szCs w:val="24"/>
        </w:rPr>
        <w:t>章）。</w:t>
      </w:r>
    </w:p>
    <w:p w14:paraId="20336704">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3.5 时序窗口与序列构建模块</w:t>
      </w:r>
    </w:p>
    <w:p w14:paraId="720781E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系统采用滑动窗口（Sliding Window）策略，将连续T帧的特征向量堆叠为一个时序样本。窗口长度T=20帧，相邻窗口之间采用50%重叠滑动策略，保证每个时间点都有检测输出。</w:t>
      </w:r>
    </w:p>
    <w:p w14:paraId="0627A5AF">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3.6 BiLSTM-BiGRU-Attention分类器</w:t>
      </w:r>
    </w:p>
    <w:p w14:paraId="362522D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BiLSTM-BiGRU-Attention混合分类器是系统的核心决策单元，详见第</w:t>
      </w:r>
      <w:r>
        <w:rPr>
          <w:rFonts w:hint="eastAsia" w:ascii="Times New Roman" w:hAnsi="Times New Roman" w:cs="Times New Roman"/>
          <w:sz w:val="24"/>
          <w:szCs w:val="24"/>
          <w:lang w:val="en-US" w:eastAsia="zh-CN"/>
        </w:rPr>
        <w:t>五</w:t>
      </w:r>
      <w:r>
        <w:rPr>
          <w:rFonts w:ascii="Times New Roman" w:hAnsi="Times New Roman" w:eastAsia="宋体" w:cs="Times New Roman"/>
          <w:sz w:val="24"/>
          <w:szCs w:val="24"/>
        </w:rPr>
        <w:t>章。</w:t>
      </w:r>
    </w:p>
    <w:p w14:paraId="5E720BA0">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3.7 集成推理模块</w:t>
      </w:r>
    </w:p>
    <w:p w14:paraId="3E4A231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采用软投票集成策略，组合启用数据增强的高精确率模型（Run1）与无数据增强的高召回率模型（Run4），详见第</w:t>
      </w:r>
      <w:r>
        <w:rPr>
          <w:rFonts w:hint="eastAsia" w:ascii="Times New Roman" w:hAnsi="Times New Roman" w:cs="Times New Roman"/>
          <w:sz w:val="24"/>
          <w:szCs w:val="24"/>
          <w:lang w:val="en-US" w:eastAsia="zh-CN"/>
        </w:rPr>
        <w:t>六</w:t>
      </w:r>
      <w:r>
        <w:rPr>
          <w:rFonts w:ascii="Times New Roman" w:hAnsi="Times New Roman" w:eastAsia="宋体" w:cs="Times New Roman"/>
          <w:sz w:val="24"/>
          <w:szCs w:val="24"/>
        </w:rPr>
        <w:t>章。</w:t>
      </w:r>
    </w:p>
    <w:p w14:paraId="26B49EBE">
      <w:r>
        <w:br w:type="page"/>
      </w:r>
    </w:p>
    <w:p w14:paraId="3C20C131">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四.</w:t>
      </w:r>
      <w:r>
        <w:rPr>
          <w:rFonts w:ascii="Times New Roman" w:hAnsi="Times New Roman" w:eastAsia="黑体" w:cs="Times New Roman"/>
          <w:b/>
          <w:bCs/>
          <w:sz w:val="32"/>
          <w:szCs w:val="32"/>
        </w:rPr>
        <w:t>多维特征工程设计</w:t>
      </w:r>
    </w:p>
    <w:p w14:paraId="621F33D2">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4.1 特征设计原则</w:t>
      </w:r>
    </w:p>
    <w:p w14:paraId="3F8E89BB">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多维度互补：特征从不同角度刻画人体运动状态</w:t>
      </w:r>
    </w:p>
    <w:p w14:paraId="0204018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物理可解释：每个特征有明确的物理含义</w:t>
      </w:r>
    </w:p>
    <w:p w14:paraId="43F6B0A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计算效率：特征计算尽量轻量</w:t>
      </w:r>
    </w:p>
    <w:p w14:paraId="2D46F44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归一化处理：采用Z-Score标准化，消除量纲差异</w:t>
      </w:r>
    </w:p>
    <w:p w14:paraId="2989C8B8">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4.2 10维特征向量</w:t>
      </w:r>
    </w:p>
    <w:p w14:paraId="0447B752">
      <w:pPr>
        <w:spacing w:before="120" w:after="60" w:line="360" w:lineRule="auto"/>
        <w:jc w:val="center"/>
      </w:pPr>
      <w:r>
        <w:drawing>
          <wp:inline distT="0" distB="0" distL="114300" distR="114300">
            <wp:extent cx="5655310" cy="351853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55310" cy="3518535"/>
                    </a:xfrm>
                    <a:prstGeom prst="rect">
                      <a:avLst/>
                    </a:prstGeom>
                  </pic:spPr>
                </pic:pic>
              </a:graphicData>
            </a:graphic>
          </wp:inline>
        </w:drawing>
      </w:r>
    </w:p>
    <w:p w14:paraId="3A1668F7">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图4-1 17个COCO关键点标注图</w:t>
      </w:r>
    </w:p>
    <w:p w14:paraId="6E1FD8A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下表展示了本文设计的10维特征向量：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353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091ADA">
            <w:pPr>
              <w:spacing w:after="0" w:line="240" w:lineRule="auto"/>
              <w:jc w:val="center"/>
            </w:pPr>
            <w:r>
              <w:rPr>
                <w:rFonts w:ascii="黑体" w:hAnsi="黑体" w:eastAsia="黑体"/>
                <w:b/>
                <w:sz w:val="20"/>
              </w:rPr>
              <w:t>编号</w:t>
            </w:r>
          </w:p>
        </w:tc>
        <w:tc>
          <w:tcPr>
            <w:tcW w:w="2160" w:type="dxa"/>
          </w:tcPr>
          <w:p w14:paraId="6AAF0F9F">
            <w:pPr>
              <w:spacing w:after="0" w:line="240" w:lineRule="auto"/>
              <w:jc w:val="center"/>
            </w:pPr>
            <w:r>
              <w:rPr>
                <w:rFonts w:ascii="黑体" w:hAnsi="黑体" w:eastAsia="黑体"/>
                <w:b/>
                <w:sz w:val="20"/>
              </w:rPr>
              <w:t>特征名称</w:t>
            </w:r>
          </w:p>
        </w:tc>
        <w:tc>
          <w:tcPr>
            <w:tcW w:w="2160" w:type="dxa"/>
          </w:tcPr>
          <w:p w14:paraId="2D23E917">
            <w:pPr>
              <w:spacing w:after="0" w:line="240" w:lineRule="auto"/>
              <w:jc w:val="center"/>
            </w:pPr>
            <w:r>
              <w:rPr>
                <w:rFonts w:ascii="黑体" w:hAnsi="黑体" w:eastAsia="黑体"/>
                <w:b/>
                <w:sz w:val="20"/>
              </w:rPr>
              <w:t>计算公式</w:t>
            </w:r>
          </w:p>
        </w:tc>
        <w:tc>
          <w:tcPr>
            <w:tcW w:w="2160" w:type="dxa"/>
          </w:tcPr>
          <w:p w14:paraId="46FB59BC">
            <w:pPr>
              <w:spacing w:after="0" w:line="240" w:lineRule="auto"/>
              <w:jc w:val="center"/>
            </w:pPr>
            <w:r>
              <w:rPr>
                <w:rFonts w:ascii="黑体" w:hAnsi="黑体" w:eastAsia="黑体"/>
                <w:b/>
                <w:sz w:val="20"/>
              </w:rPr>
              <w:t>物理含义</w:t>
            </w:r>
          </w:p>
        </w:tc>
      </w:tr>
      <w:tr w14:paraId="0893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88BDD6">
            <w:pPr>
              <w:spacing w:after="0" w:line="240" w:lineRule="auto"/>
              <w:jc w:val="center"/>
            </w:pPr>
            <w:r>
              <w:rPr>
                <w:rFonts w:ascii="宋体" w:hAnsi="宋体" w:eastAsia="宋体"/>
                <w:sz w:val="18"/>
              </w:rPr>
              <w:t>F1</w:t>
            </w:r>
          </w:p>
        </w:tc>
        <w:tc>
          <w:tcPr>
            <w:tcW w:w="2160" w:type="dxa"/>
          </w:tcPr>
          <w:p w14:paraId="5A2DD3C8">
            <w:pPr>
              <w:spacing w:after="0" w:line="240" w:lineRule="auto"/>
            </w:pPr>
            <w:r>
              <w:rPr>
                <w:rFonts w:ascii="宋体" w:hAnsi="宋体" w:eastAsia="宋体"/>
                <w:sz w:val="18"/>
              </w:rPr>
              <w:t>宽高比 (R)</w:t>
            </w:r>
          </w:p>
        </w:tc>
        <w:tc>
          <w:tcPr>
            <w:tcW w:w="2160" w:type="dxa"/>
          </w:tcPr>
          <w:p w14:paraId="4A08F16F">
            <w:pPr>
              <w:spacing w:after="0" w:line="240" w:lineRule="auto"/>
            </w:pPr>
            <w:r>
              <w:rPr>
                <w:rFonts w:ascii="宋体" w:hAnsi="宋体" w:eastAsia="宋体"/>
                <w:sz w:val="18"/>
              </w:rPr>
              <w:t>BBox_w / BBox_h</w:t>
            </w:r>
          </w:p>
        </w:tc>
        <w:tc>
          <w:tcPr>
            <w:tcW w:w="2160" w:type="dxa"/>
          </w:tcPr>
          <w:p w14:paraId="53712315">
            <w:pPr>
              <w:spacing w:after="0" w:line="240" w:lineRule="auto"/>
            </w:pPr>
            <w:r>
              <w:rPr>
                <w:rFonts w:ascii="宋体" w:hAnsi="宋体" w:eastAsia="宋体"/>
                <w:sz w:val="18"/>
              </w:rPr>
              <w:t>几何特征，人体外接框宽高比，摔倒时趋近1</w:t>
            </w:r>
          </w:p>
        </w:tc>
      </w:tr>
      <w:tr w14:paraId="4FFB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057401">
            <w:pPr>
              <w:spacing w:after="0" w:line="240" w:lineRule="auto"/>
              <w:jc w:val="center"/>
            </w:pPr>
            <w:r>
              <w:rPr>
                <w:rFonts w:ascii="宋体" w:hAnsi="宋体" w:eastAsia="宋体"/>
                <w:sz w:val="18"/>
              </w:rPr>
              <w:t>F2</w:t>
            </w:r>
          </w:p>
        </w:tc>
        <w:tc>
          <w:tcPr>
            <w:tcW w:w="2160" w:type="dxa"/>
          </w:tcPr>
          <w:p w14:paraId="1BEDAE38">
            <w:pPr>
              <w:spacing w:after="0" w:line="240" w:lineRule="auto"/>
            </w:pPr>
            <w:r>
              <w:rPr>
                <w:rFonts w:ascii="宋体" w:hAnsi="宋体" w:eastAsia="宋体"/>
                <w:sz w:val="18"/>
              </w:rPr>
              <w:t>宽高比变化率 (ΔR)</w:t>
            </w:r>
          </w:p>
        </w:tc>
        <w:tc>
          <w:tcPr>
            <w:tcW w:w="2160" w:type="dxa"/>
          </w:tcPr>
          <w:p w14:paraId="460D13AB">
            <w:pPr>
              <w:spacing w:after="0" w:line="240" w:lineRule="auto"/>
            </w:pPr>
            <w:r>
              <w:rPr>
                <w:rFonts w:ascii="宋体" w:hAnsi="宋体" w:eastAsia="宋体"/>
                <w:sz w:val="18"/>
              </w:rPr>
              <w:t>R(t) - R(t-1)</w:t>
            </w:r>
          </w:p>
        </w:tc>
        <w:tc>
          <w:tcPr>
            <w:tcW w:w="2160" w:type="dxa"/>
          </w:tcPr>
          <w:p w14:paraId="2D307374">
            <w:pPr>
              <w:spacing w:after="0" w:line="240" w:lineRule="auto"/>
            </w:pPr>
            <w:r>
              <w:rPr>
                <w:rFonts w:ascii="宋体" w:hAnsi="宋体" w:eastAsia="宋体"/>
                <w:sz w:val="18"/>
              </w:rPr>
              <w:t>几何特征，宽高比的帧间突变</w:t>
            </w:r>
          </w:p>
        </w:tc>
      </w:tr>
      <w:tr w14:paraId="00AA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BDB713">
            <w:pPr>
              <w:spacing w:after="0" w:line="240" w:lineRule="auto"/>
              <w:jc w:val="center"/>
            </w:pPr>
            <w:r>
              <w:rPr>
                <w:rFonts w:ascii="宋体" w:hAnsi="宋体" w:eastAsia="宋体"/>
                <w:sz w:val="18"/>
              </w:rPr>
              <w:t>F3</w:t>
            </w:r>
          </w:p>
        </w:tc>
        <w:tc>
          <w:tcPr>
            <w:tcW w:w="2160" w:type="dxa"/>
          </w:tcPr>
          <w:p w14:paraId="59C32D18">
            <w:pPr>
              <w:spacing w:after="0" w:line="240" w:lineRule="auto"/>
            </w:pPr>
            <w:r>
              <w:rPr>
                <w:rFonts w:ascii="宋体" w:hAnsi="宋体" w:eastAsia="宋体"/>
                <w:sz w:val="18"/>
              </w:rPr>
              <w:t>脊柱倾角 (θ)</w:t>
            </w:r>
          </w:p>
        </w:tc>
        <w:tc>
          <w:tcPr>
            <w:tcW w:w="2160" w:type="dxa"/>
          </w:tcPr>
          <w:p w14:paraId="4227AA7A">
            <w:pPr>
              <w:spacing w:after="0" w:line="240" w:lineRule="auto"/>
            </w:pPr>
            <w:r>
              <w:rPr>
                <w:rFonts w:ascii="宋体" w:hAnsi="宋体" w:eastAsia="宋体"/>
                <w:sz w:val="18"/>
              </w:rPr>
              <w:t>atan2(spine_x, spine_y)</w:t>
            </w:r>
          </w:p>
        </w:tc>
        <w:tc>
          <w:tcPr>
            <w:tcW w:w="2160" w:type="dxa"/>
          </w:tcPr>
          <w:p w14:paraId="0D1EF281">
            <w:pPr>
              <w:spacing w:after="0" w:line="240" w:lineRule="auto"/>
            </w:pPr>
            <w:r>
              <w:rPr>
                <w:rFonts w:ascii="宋体" w:hAnsi="宋体" w:eastAsia="宋体"/>
                <w:sz w:val="18"/>
              </w:rPr>
              <w:t>角度特征，肩中点→骨盆连线与竖直轴的夹角</w:t>
            </w:r>
          </w:p>
        </w:tc>
      </w:tr>
      <w:tr w14:paraId="325A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309C7A">
            <w:pPr>
              <w:spacing w:after="0" w:line="240" w:lineRule="auto"/>
              <w:jc w:val="center"/>
            </w:pPr>
            <w:r>
              <w:rPr>
                <w:rFonts w:ascii="宋体" w:hAnsi="宋体" w:eastAsia="宋体"/>
                <w:sz w:val="18"/>
              </w:rPr>
              <w:t>F4</w:t>
            </w:r>
          </w:p>
        </w:tc>
        <w:tc>
          <w:tcPr>
            <w:tcW w:w="2160" w:type="dxa"/>
          </w:tcPr>
          <w:p w14:paraId="5200D7E6">
            <w:pPr>
              <w:spacing w:after="0" w:line="240" w:lineRule="auto"/>
            </w:pPr>
            <w:r>
              <w:rPr>
                <w:rFonts w:ascii="宋体" w:hAnsi="宋体" w:eastAsia="宋体"/>
                <w:sz w:val="18"/>
              </w:rPr>
              <w:t>脊柱倾角突变量 (Δθ)</w:t>
            </w:r>
          </w:p>
        </w:tc>
        <w:tc>
          <w:tcPr>
            <w:tcW w:w="2160" w:type="dxa"/>
          </w:tcPr>
          <w:p w14:paraId="16A2DD29">
            <w:pPr>
              <w:spacing w:after="0" w:line="240" w:lineRule="auto"/>
            </w:pPr>
            <w:r>
              <w:rPr>
                <w:rFonts w:ascii="宋体" w:hAnsi="宋体" w:eastAsia="宋体"/>
                <w:sz w:val="18"/>
              </w:rPr>
              <w:t>θ(t) - θ(t-3)</w:t>
            </w:r>
          </w:p>
        </w:tc>
        <w:tc>
          <w:tcPr>
            <w:tcW w:w="2160" w:type="dxa"/>
          </w:tcPr>
          <w:p w14:paraId="78421E93">
            <w:pPr>
              <w:spacing w:after="0" w:line="240" w:lineRule="auto"/>
            </w:pPr>
            <w:r>
              <w:rPr>
                <w:rFonts w:ascii="宋体" w:hAnsi="宋体" w:eastAsia="宋体"/>
                <w:sz w:val="18"/>
              </w:rPr>
              <w:t>角度特征，3帧内脊柱角度的快速变化</w:t>
            </w:r>
          </w:p>
        </w:tc>
      </w:tr>
      <w:tr w14:paraId="18BD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352539">
            <w:pPr>
              <w:spacing w:after="0" w:line="240" w:lineRule="auto"/>
              <w:jc w:val="center"/>
            </w:pPr>
            <w:r>
              <w:rPr>
                <w:rFonts w:ascii="宋体" w:hAnsi="宋体" w:eastAsia="宋体"/>
                <w:sz w:val="18"/>
              </w:rPr>
              <w:t>F5</w:t>
            </w:r>
          </w:p>
        </w:tc>
        <w:tc>
          <w:tcPr>
            <w:tcW w:w="2160" w:type="dxa"/>
          </w:tcPr>
          <w:p w14:paraId="1C62AE3A">
            <w:pPr>
              <w:spacing w:after="0" w:line="240" w:lineRule="auto"/>
            </w:pPr>
            <w:r>
              <w:rPr>
                <w:rFonts w:ascii="宋体" w:hAnsi="宋体" w:eastAsia="宋体"/>
                <w:sz w:val="18"/>
              </w:rPr>
              <w:t>归一化质心y坐标 (yc)</w:t>
            </w:r>
          </w:p>
        </w:tc>
        <w:tc>
          <w:tcPr>
            <w:tcW w:w="2160" w:type="dxa"/>
          </w:tcPr>
          <w:p w14:paraId="529934F9">
            <w:pPr>
              <w:spacing w:after="0" w:line="240" w:lineRule="auto"/>
            </w:pPr>
            <w:r>
              <w:rPr>
                <w:rFonts w:ascii="宋体" w:hAnsi="宋体" w:eastAsia="宋体"/>
                <w:sz w:val="18"/>
              </w:rPr>
              <w:t>y_centroid / h</w:t>
            </w:r>
          </w:p>
        </w:tc>
        <w:tc>
          <w:tcPr>
            <w:tcW w:w="2160" w:type="dxa"/>
          </w:tcPr>
          <w:p w14:paraId="5F39DA85">
            <w:pPr>
              <w:spacing w:after="0" w:line="240" w:lineRule="auto"/>
            </w:pPr>
            <w:r>
              <w:rPr>
                <w:rFonts w:ascii="宋体" w:hAnsi="宋体" w:eastAsia="宋体"/>
                <w:sz w:val="18"/>
              </w:rPr>
              <w:t>运动特征，质心在图像中的相对高度位置</w:t>
            </w:r>
          </w:p>
        </w:tc>
      </w:tr>
      <w:tr w14:paraId="512F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CBEE1B">
            <w:pPr>
              <w:spacing w:after="0" w:line="240" w:lineRule="auto"/>
              <w:jc w:val="center"/>
            </w:pPr>
            <w:r>
              <w:rPr>
                <w:rFonts w:ascii="宋体" w:hAnsi="宋体" w:eastAsia="宋体"/>
                <w:sz w:val="18"/>
              </w:rPr>
              <w:t>F6</w:t>
            </w:r>
          </w:p>
        </w:tc>
        <w:tc>
          <w:tcPr>
            <w:tcW w:w="2160" w:type="dxa"/>
          </w:tcPr>
          <w:p w14:paraId="69B23F1B">
            <w:pPr>
              <w:spacing w:after="0" w:line="240" w:lineRule="auto"/>
            </w:pPr>
            <w:r>
              <w:rPr>
                <w:rFonts w:ascii="宋体" w:hAnsi="宋体" w:eastAsia="宋体"/>
                <w:sz w:val="18"/>
              </w:rPr>
              <w:t>质心垂直速度 (Vy)</w:t>
            </w:r>
          </w:p>
        </w:tc>
        <w:tc>
          <w:tcPr>
            <w:tcW w:w="2160" w:type="dxa"/>
          </w:tcPr>
          <w:p w14:paraId="6557C750">
            <w:pPr>
              <w:spacing w:after="0" w:line="240" w:lineRule="auto"/>
            </w:pPr>
            <w:r>
              <w:rPr>
                <w:rFonts w:ascii="宋体" w:hAnsi="宋体" w:eastAsia="宋体"/>
                <w:sz w:val="18"/>
              </w:rPr>
              <w:t>yc(t) - yc(t-1)</w:t>
            </w:r>
          </w:p>
        </w:tc>
        <w:tc>
          <w:tcPr>
            <w:tcW w:w="2160" w:type="dxa"/>
          </w:tcPr>
          <w:p w14:paraId="55E33462">
            <w:pPr>
              <w:spacing w:after="0" w:line="240" w:lineRule="auto"/>
            </w:pPr>
            <w:r>
              <w:rPr>
                <w:rFonts w:ascii="宋体" w:hAnsi="宋体" w:eastAsia="宋体"/>
                <w:sz w:val="18"/>
              </w:rPr>
              <w:t>运动特征，质心在竖直方向的运动速度</w:t>
            </w:r>
          </w:p>
        </w:tc>
      </w:tr>
      <w:tr w14:paraId="4F7F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A84019">
            <w:pPr>
              <w:spacing w:after="0" w:line="240" w:lineRule="auto"/>
              <w:jc w:val="center"/>
            </w:pPr>
            <w:r>
              <w:rPr>
                <w:rFonts w:ascii="宋体" w:hAnsi="宋体" w:eastAsia="宋体"/>
                <w:sz w:val="18"/>
              </w:rPr>
              <w:t>F7</w:t>
            </w:r>
          </w:p>
        </w:tc>
        <w:tc>
          <w:tcPr>
            <w:tcW w:w="2160" w:type="dxa"/>
          </w:tcPr>
          <w:p w14:paraId="281B65A5">
            <w:pPr>
              <w:spacing w:after="0" w:line="240" w:lineRule="auto"/>
            </w:pPr>
            <w:r>
              <w:rPr>
                <w:rFonts w:ascii="宋体" w:hAnsi="宋体" w:eastAsia="宋体"/>
                <w:sz w:val="18"/>
              </w:rPr>
              <w:t>速度比 (Rv)</w:t>
            </w:r>
          </w:p>
        </w:tc>
        <w:tc>
          <w:tcPr>
            <w:tcW w:w="2160" w:type="dxa"/>
          </w:tcPr>
          <w:p w14:paraId="66ADEB06">
            <w:pPr>
              <w:spacing w:after="0" w:line="240" w:lineRule="auto"/>
            </w:pPr>
            <w:r>
              <w:rPr>
                <w:rFonts w:ascii="宋体" w:hAnsi="宋体" w:eastAsia="宋体"/>
                <w:sz w:val="18"/>
              </w:rPr>
              <w:t>|Vy| / (|Vx|+ε)</w:t>
            </w:r>
          </w:p>
        </w:tc>
        <w:tc>
          <w:tcPr>
            <w:tcW w:w="2160" w:type="dxa"/>
          </w:tcPr>
          <w:p w14:paraId="6DF6F2B8">
            <w:pPr>
              <w:spacing w:after="0" w:line="240" w:lineRule="auto"/>
            </w:pPr>
            <w:r>
              <w:rPr>
                <w:rFonts w:ascii="宋体" w:hAnsi="宋体" w:eastAsia="宋体"/>
                <w:sz w:val="18"/>
              </w:rPr>
              <w:t>运动特征，垂直速度与水平速度之比</w:t>
            </w:r>
          </w:p>
        </w:tc>
      </w:tr>
      <w:tr w14:paraId="70E7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6331F6">
            <w:pPr>
              <w:spacing w:after="0" w:line="240" w:lineRule="auto"/>
              <w:jc w:val="center"/>
            </w:pPr>
            <w:r>
              <w:rPr>
                <w:rFonts w:ascii="宋体" w:hAnsi="宋体" w:eastAsia="宋体"/>
                <w:sz w:val="18"/>
              </w:rPr>
              <w:t>F8</w:t>
            </w:r>
          </w:p>
        </w:tc>
        <w:tc>
          <w:tcPr>
            <w:tcW w:w="2160" w:type="dxa"/>
          </w:tcPr>
          <w:p w14:paraId="37DA611F">
            <w:pPr>
              <w:spacing w:after="0" w:line="240" w:lineRule="auto"/>
            </w:pPr>
            <w:r>
              <w:rPr>
                <w:rFonts w:ascii="宋体" w:hAnsi="宋体" w:eastAsia="宋体"/>
                <w:sz w:val="18"/>
              </w:rPr>
              <w:t>头脚矢量归一化长度 (Lha)</w:t>
            </w:r>
          </w:p>
        </w:tc>
        <w:tc>
          <w:tcPr>
            <w:tcW w:w="2160" w:type="dxa"/>
          </w:tcPr>
          <w:p w14:paraId="5E76A8D5">
            <w:pPr>
              <w:spacing w:after="0" w:line="240" w:lineRule="auto"/>
            </w:pPr>
            <w:r>
              <w:rPr>
                <w:rFonts w:ascii="宋体" w:hAnsi="宋体" w:eastAsia="宋体"/>
                <w:sz w:val="18"/>
              </w:rPr>
              <w:t>dist(head,ankle)/h</w:t>
            </w:r>
          </w:p>
        </w:tc>
        <w:tc>
          <w:tcPr>
            <w:tcW w:w="2160" w:type="dxa"/>
          </w:tcPr>
          <w:p w14:paraId="5C490A4B">
            <w:pPr>
              <w:spacing w:after="0" w:line="240" w:lineRule="auto"/>
            </w:pPr>
            <w:r>
              <w:rPr>
                <w:rFonts w:ascii="宋体" w:hAnsi="宋体" w:eastAsia="宋体"/>
                <w:sz w:val="18"/>
              </w:rPr>
              <w:t>矢量特征，头顶到双脚踝中点的距离</w:t>
            </w:r>
          </w:p>
        </w:tc>
      </w:tr>
      <w:tr w14:paraId="5DA2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4D5117">
            <w:pPr>
              <w:spacing w:after="0" w:line="240" w:lineRule="auto"/>
              <w:jc w:val="center"/>
            </w:pPr>
            <w:r>
              <w:rPr>
                <w:rFonts w:ascii="宋体" w:hAnsi="宋体" w:eastAsia="宋体"/>
                <w:sz w:val="18"/>
              </w:rPr>
              <w:t>F9</w:t>
            </w:r>
          </w:p>
        </w:tc>
        <w:tc>
          <w:tcPr>
            <w:tcW w:w="2160" w:type="dxa"/>
          </w:tcPr>
          <w:p w14:paraId="6A16E53C">
            <w:pPr>
              <w:spacing w:after="0" w:line="240" w:lineRule="auto"/>
            </w:pPr>
            <w:r>
              <w:rPr>
                <w:rFonts w:ascii="宋体" w:hAnsi="宋体" w:eastAsia="宋体"/>
                <w:sz w:val="18"/>
              </w:rPr>
              <w:t>归一化头部高度 (yh)</w:t>
            </w:r>
          </w:p>
        </w:tc>
        <w:tc>
          <w:tcPr>
            <w:tcW w:w="2160" w:type="dxa"/>
          </w:tcPr>
          <w:p w14:paraId="6F1A718C">
            <w:pPr>
              <w:spacing w:after="0" w:line="240" w:lineRule="auto"/>
            </w:pPr>
            <w:r>
              <w:rPr>
                <w:rFonts w:ascii="宋体" w:hAnsi="宋体" w:eastAsia="宋体"/>
                <w:sz w:val="18"/>
              </w:rPr>
              <w:t>nose_y / h</w:t>
            </w:r>
          </w:p>
        </w:tc>
        <w:tc>
          <w:tcPr>
            <w:tcW w:w="2160" w:type="dxa"/>
          </w:tcPr>
          <w:p w14:paraId="380E2386">
            <w:pPr>
              <w:spacing w:after="0" w:line="240" w:lineRule="auto"/>
            </w:pPr>
            <w:r>
              <w:rPr>
                <w:rFonts w:ascii="宋体" w:hAnsi="宋体" w:eastAsia="宋体"/>
                <w:sz w:val="18"/>
              </w:rPr>
              <w:t>运动特征，头部关键点的相对高度</w:t>
            </w:r>
          </w:p>
        </w:tc>
      </w:tr>
      <w:tr w14:paraId="0FF9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399B14">
            <w:pPr>
              <w:spacing w:after="0" w:line="240" w:lineRule="auto"/>
              <w:jc w:val="center"/>
            </w:pPr>
            <w:r>
              <w:rPr>
                <w:rFonts w:ascii="宋体" w:hAnsi="宋体" w:eastAsia="宋体"/>
                <w:sz w:val="18"/>
              </w:rPr>
              <w:t>F10</w:t>
            </w:r>
          </w:p>
        </w:tc>
        <w:tc>
          <w:tcPr>
            <w:tcW w:w="2160" w:type="dxa"/>
          </w:tcPr>
          <w:p w14:paraId="59692637">
            <w:pPr>
              <w:spacing w:after="0" w:line="240" w:lineRule="auto"/>
            </w:pPr>
            <w:r>
              <w:rPr>
                <w:rFonts w:ascii="宋体" w:hAnsi="宋体" w:eastAsia="宋体"/>
                <w:sz w:val="18"/>
              </w:rPr>
              <w:t>脊柱矢量y分量 (spine_y)</w:t>
            </w:r>
          </w:p>
        </w:tc>
        <w:tc>
          <w:tcPr>
            <w:tcW w:w="2160" w:type="dxa"/>
          </w:tcPr>
          <w:p w14:paraId="0542A65B">
            <w:pPr>
              <w:spacing w:after="0" w:line="240" w:lineRule="auto"/>
            </w:pPr>
            <w:r>
              <w:rPr>
                <w:rFonts w:ascii="宋体" w:hAnsi="宋体" w:eastAsia="宋体"/>
                <w:sz w:val="18"/>
              </w:rPr>
              <w:t>spine_y / |spine_vec|</w:t>
            </w:r>
          </w:p>
        </w:tc>
        <w:tc>
          <w:tcPr>
            <w:tcW w:w="2160" w:type="dxa"/>
          </w:tcPr>
          <w:p w14:paraId="167F4A0D">
            <w:pPr>
              <w:spacing w:after="0" w:line="240" w:lineRule="auto"/>
            </w:pPr>
            <w:r>
              <w:rPr>
                <w:rFonts w:ascii="宋体" w:hAnsi="宋体" w:eastAsia="宋体"/>
                <w:sz w:val="18"/>
              </w:rPr>
              <w:t>矢量特征，脊柱矢量在竖直方向的分量比例</w:t>
            </w:r>
          </w:p>
        </w:tc>
      </w:tr>
    </w:tbl>
    <w:p w14:paraId="0FAEC40C"/>
    <w:p w14:paraId="3361D6B8">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4.3 关键特征详解</w:t>
      </w:r>
    </w:p>
    <w:p w14:paraId="47C07814">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F1 宽高比（R）：站立时R &lt; 1，摔倒后R ≥ 1。瞬间突变是区分"缓慢躺下"与"突然摔倒"的关键。</w:t>
      </w:r>
    </w:p>
    <w:p w14:paraId="606255C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F3 脊柱倾角（θ）：站立时θ ≈ 0°，摔倒后θ → 60°~90°。</w:t>
      </w:r>
    </w:p>
    <w:p w14:paraId="6958232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F6-F7 速度比（Rᵥ）：摔倒时质心以较大垂直速度向下运动，Rᵥ突然增大；奔跑时Rᵥ保持较小且稳定。</w:t>
      </w:r>
    </w:p>
    <w:p w14:paraId="617DAA5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F8 头脚矢量长度（Lha）：站立时Lha较大，摔倒后人体趋于水平展开，Lha骤降。</w:t>
      </w:r>
    </w:p>
    <w:p w14:paraId="0D979B4B">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4.4 特征归一化</w:t>
      </w:r>
    </w:p>
    <w:p w14:paraId="6E82FB8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采用Z-Score标准化：f_normalized = (f - μ) / σ，其中μ和σ为训练集上该特征的均值和标准差。</w:t>
      </w:r>
    </w:p>
    <w:p w14:paraId="1A0BCF35">
      <w:r>
        <w:br w:type="page"/>
      </w:r>
    </w:p>
    <w:p w14:paraId="2156F6B6">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五.</w:t>
      </w:r>
      <w:r>
        <w:rPr>
          <w:rFonts w:ascii="Times New Roman" w:hAnsi="Times New Roman" w:eastAsia="黑体" w:cs="Times New Roman"/>
          <w:b/>
          <w:bCs/>
          <w:sz w:val="32"/>
          <w:szCs w:val="32"/>
        </w:rPr>
        <w:t>BiLSTM-BiGRU-Attention混合模型设计</w:t>
      </w:r>
    </w:p>
    <w:p w14:paraId="1E65E8AC">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5.1 模型整体架构</w:t>
      </w:r>
    </w:p>
    <w:p w14:paraId="69D0A18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EnhancedFallDetector模型采用五层混合架构：</w:t>
      </w:r>
    </w:p>
    <w:p w14:paraId="4596210F">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输入投影层：10维原始特征 → 128维隐层空间（Linear+LN+ReLU+Dropout）</w:t>
      </w:r>
    </w:p>
    <w:p w14:paraId="7F87C24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双层BiLSTM：hidden_size=128，bidirectional=True，提取基础时序特征</w:t>
      </w:r>
    </w:p>
    <w:p w14:paraId="370CE97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单层BiGRU：hidden_size=128，进一步提炼时序表征</w:t>
      </w:r>
    </w:p>
    <w:p w14:paraId="77A3057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双向多头自注意力层：4头自注意力（Multi-Head Attention），建模全局依赖</w:t>
      </w:r>
    </w:p>
    <w:p w14:paraId="4867B56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分类头：注意力加权池化 → 64维 → 32维 → 2（Softmax）</w:t>
      </w:r>
    </w:p>
    <w:p w14:paraId="278A260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总参数量：约150万（1.5M）</w:t>
      </w:r>
    </w:p>
    <w:p w14:paraId="21BB745A">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5.2 模型架构参数</w:t>
      </w:r>
    </w:p>
    <w:tbl>
      <w:tblPr>
        <w:tblStyle w:val="33"/>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80"/>
        <w:gridCol w:w="2880"/>
        <w:gridCol w:w="2880"/>
      </w:tblGrid>
      <w:tr w14:paraId="44114B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2AB4D0FF">
            <w:pPr>
              <w:spacing w:after="0" w:line="240" w:lineRule="auto"/>
              <w:jc w:val="center"/>
            </w:pPr>
            <w:r>
              <w:rPr>
                <w:rFonts w:ascii="黑体" w:hAnsi="黑体" w:eastAsia="黑体"/>
                <w:b/>
                <w:sz w:val="20"/>
              </w:rPr>
              <w:t>层级</w:t>
            </w:r>
          </w:p>
        </w:tc>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01214372">
            <w:pPr>
              <w:spacing w:after="0" w:line="240" w:lineRule="auto"/>
              <w:jc w:val="center"/>
            </w:pPr>
            <w:r>
              <w:rPr>
                <w:rFonts w:ascii="黑体" w:hAnsi="黑体" w:eastAsia="黑体"/>
                <w:b/>
                <w:sz w:val="20"/>
              </w:rPr>
              <w:t>配置</w:t>
            </w:r>
          </w:p>
        </w:tc>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193F513A">
            <w:pPr>
              <w:spacing w:after="0" w:line="240" w:lineRule="auto"/>
              <w:jc w:val="center"/>
            </w:pPr>
            <w:r>
              <w:rPr>
                <w:rFonts w:ascii="黑体" w:hAnsi="黑体" w:eastAsia="黑体"/>
                <w:b/>
                <w:sz w:val="20"/>
              </w:rPr>
              <w:t>输出shape</w:t>
            </w:r>
          </w:p>
        </w:tc>
      </w:tr>
      <w:tr w14:paraId="6F8B5A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single" w:color="auto" w:sz="4" w:space="0"/>
              <w:left w:val="nil"/>
              <w:bottom w:val="nil"/>
              <w:right w:val="nil"/>
            </w:tcBorders>
            <w:noWrap w:val="0"/>
            <w:tcMar>
              <w:top w:w="-1" w:type="dxa"/>
              <w:left w:w="-1" w:type="dxa"/>
              <w:bottom w:w="-1" w:type="dxa"/>
              <w:right w:w="-1" w:type="dxa"/>
            </w:tcMar>
            <w:vAlign w:val="top"/>
          </w:tcPr>
          <w:p w14:paraId="2D24BC9B">
            <w:pPr>
              <w:spacing w:after="0" w:line="240" w:lineRule="auto"/>
            </w:pPr>
            <w:r>
              <w:rPr>
                <w:rFonts w:ascii="宋体" w:hAnsi="宋体" w:eastAsia="宋体"/>
                <w:sz w:val="18"/>
              </w:rPr>
              <w:t>输入层</w:t>
            </w:r>
          </w:p>
        </w:tc>
        <w:tc>
          <w:tcPr>
            <w:tcW w:w="2880" w:type="dxa"/>
            <w:tcBorders>
              <w:top w:val="single" w:color="auto" w:sz="4" w:space="0"/>
              <w:left w:val="nil"/>
              <w:bottom w:val="nil"/>
              <w:right w:val="nil"/>
            </w:tcBorders>
            <w:noWrap w:val="0"/>
            <w:tcMar>
              <w:top w:w="-1" w:type="dxa"/>
              <w:left w:w="-1" w:type="dxa"/>
              <w:bottom w:w="-1" w:type="dxa"/>
              <w:right w:w="-1" w:type="dxa"/>
            </w:tcMar>
            <w:vAlign w:val="top"/>
          </w:tcPr>
          <w:p w14:paraId="0148786E">
            <w:pPr>
              <w:spacing w:after="0" w:line="240" w:lineRule="auto"/>
            </w:pPr>
            <w:r>
              <w:rPr>
                <w:rFonts w:ascii="宋体" w:hAnsi="宋体" w:eastAsia="宋体"/>
                <w:sz w:val="18"/>
              </w:rPr>
              <w:t>20帧 × 10维特征</w:t>
            </w:r>
          </w:p>
        </w:tc>
        <w:tc>
          <w:tcPr>
            <w:tcW w:w="2880" w:type="dxa"/>
            <w:tcBorders>
              <w:top w:val="single" w:color="auto" w:sz="4" w:space="0"/>
              <w:left w:val="nil"/>
              <w:bottom w:val="nil"/>
              <w:right w:val="nil"/>
            </w:tcBorders>
            <w:noWrap w:val="0"/>
            <w:tcMar>
              <w:top w:w="-1" w:type="dxa"/>
              <w:left w:w="-1" w:type="dxa"/>
              <w:bottom w:w="-1" w:type="dxa"/>
              <w:right w:w="-1" w:type="dxa"/>
            </w:tcMar>
            <w:vAlign w:val="top"/>
          </w:tcPr>
          <w:p w14:paraId="4C37C9CC">
            <w:pPr>
              <w:spacing w:after="0" w:line="240" w:lineRule="auto"/>
              <w:jc w:val="center"/>
            </w:pPr>
            <w:r>
              <w:rPr>
                <w:rFonts w:ascii="宋体" w:hAnsi="宋体" w:eastAsia="宋体"/>
                <w:sz w:val="18"/>
              </w:rPr>
              <w:t>[batch, 20, 10]</w:t>
            </w:r>
          </w:p>
        </w:tc>
      </w:tr>
      <w:tr w14:paraId="24AA20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5A328D92">
            <w:pPr>
              <w:spacing w:after="0" w:line="240" w:lineRule="auto"/>
            </w:pPr>
            <w:r>
              <w:rPr>
                <w:rFonts w:ascii="宋体" w:hAnsi="宋体" w:eastAsia="宋体"/>
                <w:sz w:val="18"/>
              </w:rPr>
              <w:t>输入投影层</w:t>
            </w:r>
          </w:p>
        </w:tc>
        <w:tc>
          <w:tcPr>
            <w:tcW w:w="2880" w:type="dxa"/>
            <w:tcBorders>
              <w:top w:val="nil"/>
              <w:left w:val="nil"/>
              <w:bottom w:val="nil"/>
              <w:right w:val="nil"/>
            </w:tcBorders>
            <w:noWrap w:val="0"/>
            <w:tcMar>
              <w:top w:w="-1" w:type="dxa"/>
              <w:left w:w="-1" w:type="dxa"/>
              <w:bottom w:w="-1" w:type="dxa"/>
              <w:right w:w="-1" w:type="dxa"/>
            </w:tcMar>
            <w:vAlign w:val="top"/>
          </w:tcPr>
          <w:p w14:paraId="0BCC95A4">
            <w:pPr>
              <w:spacing w:after="0" w:line="240" w:lineRule="auto"/>
            </w:pPr>
            <w:r>
              <w:rPr>
                <w:rFonts w:ascii="宋体" w:hAnsi="宋体" w:eastAsia="宋体"/>
                <w:sz w:val="18"/>
              </w:rPr>
              <w:t>Linear(10,128) + LN + ReLU + Dropout(0.3)</w:t>
            </w:r>
          </w:p>
        </w:tc>
        <w:tc>
          <w:tcPr>
            <w:tcW w:w="2880" w:type="dxa"/>
            <w:tcBorders>
              <w:top w:val="nil"/>
              <w:left w:val="nil"/>
              <w:bottom w:val="nil"/>
              <w:right w:val="nil"/>
            </w:tcBorders>
            <w:noWrap w:val="0"/>
            <w:tcMar>
              <w:top w:w="-1" w:type="dxa"/>
              <w:left w:w="-1" w:type="dxa"/>
              <w:bottom w:w="-1" w:type="dxa"/>
              <w:right w:w="-1" w:type="dxa"/>
            </w:tcMar>
            <w:vAlign w:val="top"/>
          </w:tcPr>
          <w:p w14:paraId="5F8E0D78">
            <w:pPr>
              <w:spacing w:after="0" w:line="240" w:lineRule="auto"/>
              <w:jc w:val="center"/>
            </w:pPr>
            <w:r>
              <w:rPr>
                <w:rFonts w:ascii="宋体" w:hAnsi="宋体" w:eastAsia="宋体"/>
                <w:sz w:val="18"/>
              </w:rPr>
              <w:t>[batch, 20, 128]</w:t>
            </w:r>
          </w:p>
        </w:tc>
      </w:tr>
      <w:tr w14:paraId="55BDAC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468456E2">
            <w:pPr>
              <w:spacing w:after="0" w:line="240" w:lineRule="auto"/>
            </w:pPr>
            <w:r>
              <w:rPr>
                <w:rFonts w:ascii="宋体" w:hAnsi="宋体" w:eastAsia="宋体"/>
                <w:sz w:val="18"/>
              </w:rPr>
              <w:t>BiLSTM层</w:t>
            </w:r>
          </w:p>
        </w:tc>
        <w:tc>
          <w:tcPr>
            <w:tcW w:w="2880" w:type="dxa"/>
            <w:tcBorders>
              <w:top w:val="nil"/>
              <w:left w:val="nil"/>
              <w:bottom w:val="nil"/>
              <w:right w:val="nil"/>
            </w:tcBorders>
            <w:noWrap w:val="0"/>
            <w:tcMar>
              <w:top w:w="-1" w:type="dxa"/>
              <w:left w:w="-1" w:type="dxa"/>
              <w:bottom w:w="-1" w:type="dxa"/>
              <w:right w:w="-1" w:type="dxa"/>
            </w:tcMar>
            <w:vAlign w:val="top"/>
          </w:tcPr>
          <w:p w14:paraId="426F1C7C">
            <w:pPr>
              <w:spacing w:after="0" w:line="240" w:lineRule="auto"/>
            </w:pPr>
            <w:r>
              <w:rPr>
                <w:rFonts w:ascii="宋体" w:hAnsi="宋体" w:eastAsia="宋体"/>
                <w:sz w:val="18"/>
              </w:rPr>
              <w:t>hidden_size=128, num_layers=2, dropout=0.3</w:t>
            </w:r>
          </w:p>
        </w:tc>
        <w:tc>
          <w:tcPr>
            <w:tcW w:w="2880" w:type="dxa"/>
            <w:tcBorders>
              <w:top w:val="nil"/>
              <w:left w:val="nil"/>
              <w:bottom w:val="nil"/>
              <w:right w:val="nil"/>
            </w:tcBorders>
            <w:noWrap w:val="0"/>
            <w:tcMar>
              <w:top w:w="-1" w:type="dxa"/>
              <w:left w:w="-1" w:type="dxa"/>
              <w:bottom w:w="-1" w:type="dxa"/>
              <w:right w:w="-1" w:type="dxa"/>
            </w:tcMar>
            <w:vAlign w:val="top"/>
          </w:tcPr>
          <w:p w14:paraId="66625982">
            <w:pPr>
              <w:spacing w:after="0" w:line="240" w:lineRule="auto"/>
              <w:jc w:val="center"/>
            </w:pPr>
            <w:r>
              <w:rPr>
                <w:rFonts w:ascii="宋体" w:hAnsi="宋体" w:eastAsia="宋体"/>
                <w:sz w:val="18"/>
              </w:rPr>
              <w:t>[batch, 20, 256]</w:t>
            </w:r>
          </w:p>
        </w:tc>
      </w:tr>
      <w:tr w14:paraId="642E36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6FBA4443">
            <w:pPr>
              <w:spacing w:after="0" w:line="240" w:lineRule="auto"/>
            </w:pPr>
            <w:r>
              <w:rPr>
                <w:rFonts w:ascii="宋体" w:hAnsi="宋体" w:eastAsia="宋体"/>
                <w:sz w:val="18"/>
              </w:rPr>
              <w:t>BiGRU层</w:t>
            </w:r>
          </w:p>
        </w:tc>
        <w:tc>
          <w:tcPr>
            <w:tcW w:w="2880" w:type="dxa"/>
            <w:tcBorders>
              <w:top w:val="nil"/>
              <w:left w:val="nil"/>
              <w:bottom w:val="nil"/>
              <w:right w:val="nil"/>
            </w:tcBorders>
            <w:noWrap w:val="0"/>
            <w:tcMar>
              <w:top w:w="-1" w:type="dxa"/>
              <w:left w:w="-1" w:type="dxa"/>
              <w:bottom w:w="-1" w:type="dxa"/>
              <w:right w:w="-1" w:type="dxa"/>
            </w:tcMar>
            <w:vAlign w:val="top"/>
          </w:tcPr>
          <w:p w14:paraId="5BBCF8FE">
            <w:pPr>
              <w:spacing w:after="0" w:line="240" w:lineRule="auto"/>
            </w:pPr>
            <w:r>
              <w:rPr>
                <w:rFonts w:ascii="宋体" w:hAnsi="宋体" w:eastAsia="宋体"/>
                <w:sz w:val="18"/>
              </w:rPr>
              <w:t>hidden_size=128, num_layers=1</w:t>
            </w:r>
          </w:p>
        </w:tc>
        <w:tc>
          <w:tcPr>
            <w:tcW w:w="2880" w:type="dxa"/>
            <w:tcBorders>
              <w:top w:val="nil"/>
              <w:left w:val="nil"/>
              <w:bottom w:val="nil"/>
              <w:right w:val="nil"/>
            </w:tcBorders>
            <w:noWrap w:val="0"/>
            <w:tcMar>
              <w:top w:w="-1" w:type="dxa"/>
              <w:left w:w="-1" w:type="dxa"/>
              <w:bottom w:w="-1" w:type="dxa"/>
              <w:right w:w="-1" w:type="dxa"/>
            </w:tcMar>
            <w:vAlign w:val="top"/>
          </w:tcPr>
          <w:p w14:paraId="2956FF1B">
            <w:pPr>
              <w:spacing w:after="0" w:line="240" w:lineRule="auto"/>
              <w:jc w:val="center"/>
            </w:pPr>
            <w:r>
              <w:rPr>
                <w:rFonts w:ascii="宋体" w:hAnsi="宋体" w:eastAsia="宋体"/>
                <w:sz w:val="18"/>
              </w:rPr>
              <w:t>[batch, 20, 256]</w:t>
            </w:r>
          </w:p>
        </w:tc>
      </w:tr>
      <w:tr w14:paraId="3B68A5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0C5B290F">
            <w:pPr>
              <w:spacing w:after="0" w:line="240" w:lineRule="auto"/>
            </w:pPr>
            <w:r>
              <w:rPr>
                <w:rFonts w:ascii="宋体" w:hAnsi="宋体" w:eastAsia="宋体"/>
                <w:sz w:val="18"/>
              </w:rPr>
              <w:t>双向多头注意力</w:t>
            </w:r>
          </w:p>
        </w:tc>
        <w:tc>
          <w:tcPr>
            <w:tcW w:w="2880" w:type="dxa"/>
            <w:tcBorders>
              <w:top w:val="nil"/>
              <w:left w:val="nil"/>
              <w:bottom w:val="nil"/>
              <w:right w:val="nil"/>
            </w:tcBorders>
            <w:noWrap w:val="0"/>
            <w:tcMar>
              <w:top w:w="-1" w:type="dxa"/>
              <w:left w:w="-1" w:type="dxa"/>
              <w:bottom w:w="-1" w:type="dxa"/>
              <w:right w:w="-1" w:type="dxa"/>
            </w:tcMar>
            <w:vAlign w:val="top"/>
          </w:tcPr>
          <w:p w14:paraId="7FD51CEA">
            <w:pPr>
              <w:spacing w:after="0" w:line="240" w:lineRule="auto"/>
            </w:pPr>
            <w:r>
              <w:rPr>
                <w:rFonts w:ascii="宋体" w:hAnsi="宋体" w:eastAsia="宋体"/>
                <w:sz w:val="18"/>
              </w:rPr>
              <w:t>num_heads=4, head_dim=64, 残差+LN</w:t>
            </w:r>
          </w:p>
        </w:tc>
        <w:tc>
          <w:tcPr>
            <w:tcW w:w="2880" w:type="dxa"/>
            <w:tcBorders>
              <w:top w:val="nil"/>
              <w:left w:val="nil"/>
              <w:bottom w:val="nil"/>
              <w:right w:val="nil"/>
            </w:tcBorders>
            <w:noWrap w:val="0"/>
            <w:tcMar>
              <w:top w:w="-1" w:type="dxa"/>
              <w:left w:w="-1" w:type="dxa"/>
              <w:bottom w:w="-1" w:type="dxa"/>
              <w:right w:w="-1" w:type="dxa"/>
            </w:tcMar>
            <w:vAlign w:val="top"/>
          </w:tcPr>
          <w:p w14:paraId="14BE617E">
            <w:pPr>
              <w:spacing w:after="0" w:line="240" w:lineRule="auto"/>
              <w:jc w:val="center"/>
            </w:pPr>
            <w:r>
              <w:rPr>
                <w:rFonts w:ascii="宋体" w:hAnsi="宋体" w:eastAsia="宋体"/>
                <w:sz w:val="18"/>
              </w:rPr>
              <w:t>[batch, 20, 256]</w:t>
            </w:r>
          </w:p>
        </w:tc>
      </w:tr>
      <w:tr w14:paraId="771682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0BF1FBB0">
            <w:pPr>
              <w:spacing w:after="0" w:line="240" w:lineRule="auto"/>
            </w:pPr>
            <w:r>
              <w:rPr>
                <w:rFonts w:ascii="宋体" w:hAnsi="宋体" w:eastAsia="宋体"/>
                <w:sz w:val="18"/>
              </w:rPr>
              <w:t>时序池化层</w:t>
            </w:r>
          </w:p>
        </w:tc>
        <w:tc>
          <w:tcPr>
            <w:tcW w:w="2880" w:type="dxa"/>
            <w:tcBorders>
              <w:top w:val="nil"/>
              <w:left w:val="nil"/>
              <w:bottom w:val="nil"/>
              <w:right w:val="nil"/>
            </w:tcBorders>
            <w:noWrap w:val="0"/>
            <w:tcMar>
              <w:top w:w="-1" w:type="dxa"/>
              <w:left w:w="-1" w:type="dxa"/>
              <w:bottom w:w="-1" w:type="dxa"/>
              <w:right w:w="-1" w:type="dxa"/>
            </w:tcMar>
            <w:vAlign w:val="top"/>
          </w:tcPr>
          <w:p w14:paraId="1D127F99">
            <w:pPr>
              <w:spacing w:after="0" w:line="240" w:lineRule="auto"/>
            </w:pPr>
            <w:r>
              <w:rPr>
                <w:rFonts w:ascii="宋体" w:hAnsi="宋体" w:eastAsia="宋体"/>
                <w:sz w:val="18"/>
              </w:rPr>
              <w:t>Linear(256,64) + Tanh + Dropout(0.3)</w:t>
            </w:r>
          </w:p>
        </w:tc>
        <w:tc>
          <w:tcPr>
            <w:tcW w:w="2880" w:type="dxa"/>
            <w:tcBorders>
              <w:top w:val="nil"/>
              <w:left w:val="nil"/>
              <w:bottom w:val="nil"/>
              <w:right w:val="nil"/>
            </w:tcBorders>
            <w:noWrap w:val="0"/>
            <w:tcMar>
              <w:top w:w="-1" w:type="dxa"/>
              <w:left w:w="-1" w:type="dxa"/>
              <w:bottom w:w="-1" w:type="dxa"/>
              <w:right w:w="-1" w:type="dxa"/>
            </w:tcMar>
            <w:vAlign w:val="top"/>
          </w:tcPr>
          <w:p w14:paraId="0127D382">
            <w:pPr>
              <w:spacing w:after="0" w:line="240" w:lineRule="auto"/>
              <w:jc w:val="center"/>
            </w:pPr>
            <w:r>
              <w:rPr>
                <w:rFonts w:ascii="宋体" w:hAnsi="宋体" w:eastAsia="宋体"/>
                <w:sz w:val="18"/>
              </w:rPr>
              <w:t>[batch, 64]</w:t>
            </w:r>
          </w:p>
        </w:tc>
      </w:tr>
      <w:tr w14:paraId="5B41BA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4171F9C2">
            <w:pPr>
              <w:spacing w:after="0" w:line="240" w:lineRule="auto"/>
            </w:pPr>
            <w:r>
              <w:rPr>
                <w:rFonts w:ascii="宋体" w:hAnsi="宋体" w:eastAsia="宋体"/>
                <w:sz w:val="18"/>
              </w:rPr>
              <w:t>分类头</w:t>
            </w:r>
          </w:p>
        </w:tc>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14F495C1">
            <w:pPr>
              <w:spacing w:after="0" w:line="240" w:lineRule="auto"/>
            </w:pPr>
            <w:r>
              <w:rPr>
                <w:rFonts w:ascii="宋体" w:hAnsi="宋体" w:eastAsia="宋体"/>
                <w:sz w:val="18"/>
              </w:rPr>
              <w:t>Linear(64,32) + ReLU → Linear(32,2) → Softmax</w:t>
            </w:r>
          </w:p>
        </w:tc>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4379F39C">
            <w:pPr>
              <w:spacing w:after="0" w:line="240" w:lineRule="auto"/>
              <w:jc w:val="center"/>
            </w:pPr>
            <w:r>
              <w:rPr>
                <w:rFonts w:ascii="宋体" w:hAnsi="宋体" w:eastAsia="宋体"/>
                <w:sz w:val="18"/>
              </w:rPr>
              <w:t>[batch, 2]</w:t>
            </w:r>
          </w:p>
        </w:tc>
      </w:tr>
    </w:tbl>
    <w:p w14:paraId="5A91CCF1"/>
    <w:p w14:paraId="3964D70C">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5.3 双向多头自注意力机制</w:t>
      </w:r>
    </w:p>
    <w:p w14:paraId="27AD37E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1）多头并行注意力：将256维隐向量拆分为4个64维子空间，每个头独立计算注意力权重；（2）双向门控机制：前向/后向门控层自动学习区分前向和后向序列信息的权重；（3）注意力加权池化：将注意力权重归一化后作为池化权重，自动聚焦关键帧。</w:t>
      </w:r>
    </w:p>
    <w:p w14:paraId="7FF4258F">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5.4 损失函数设计</w:t>
      </w:r>
    </w:p>
    <w:p w14:paraId="52FE2D0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采用Focal Loss：L_FL = -α·(1-p_t)^γ·log(p_t)</w:t>
      </w:r>
    </w:p>
    <w:p w14:paraId="6DBA674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选定最优配置：α=2.0, γ=2.0，此时模型对困难样本的学习权重显著提升。</w:t>
      </w:r>
    </w:p>
    <w:p w14:paraId="57F9940D">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5.5 过采样与数据增强</w:t>
      </w:r>
    </w:p>
    <w:p w14:paraId="2350E6B4">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SMOTE过采样：将Fall类从79例扩充至294例（1:1配平）</w:t>
      </w:r>
    </w:p>
    <w:p w14:paraId="5FF4C7A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数据增强策略：随机时间偏移、高斯噪声注入（均值0、标准差0.02）、时间尺度扰动（[0.8x, 1.2x]范围内随机缩放）。</w:t>
      </w:r>
    </w:p>
    <w:p w14:paraId="64DCED23">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5.6 优化器与训练配置</w:t>
      </w:r>
    </w:p>
    <w:p w14:paraId="71139B4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优化器：Adam（lr=0.001, weight_decay=1e-4）</w:t>
      </w:r>
    </w:p>
    <w:p w14:paraId="55C8A9C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学习率调度：ReduceLROnPlateau（连续5个epoch未提升则降低50%）</w:t>
      </w:r>
    </w:p>
    <w:p w14:paraId="7550957D">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早停机制：验证F1连续30个epoch未提升则停止</w:t>
      </w:r>
    </w:p>
    <w:p w14:paraId="1C0FBE0A">
      <w:pPr>
        <w:spacing w:line="360" w:lineRule="auto"/>
        <w:ind w:firstLine="480"/>
        <w:jc w:val="both"/>
      </w:pPr>
      <w:r>
        <w:rPr>
          <w:rFonts w:ascii="Times New Roman" w:hAnsi="Times New Roman" w:eastAsia="宋体" w:cs="Times New Roman"/>
          <w:sz w:val="24"/>
          <w:szCs w:val="24"/>
        </w:rPr>
        <w:t>数据划分：训练集70% : 验证集15% : 测试集15%</w:t>
      </w:r>
      <w:r>
        <w:br w:type="page"/>
      </w:r>
    </w:p>
    <w:p w14:paraId="4AF5BE72">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w:t>
      </w:r>
      <w:r>
        <w:rPr>
          <w:rFonts w:ascii="Times New Roman" w:hAnsi="Times New Roman" w:eastAsia="黑体" w:cs="Times New Roman"/>
          <w:b/>
          <w:bCs/>
          <w:sz w:val="32"/>
          <w:szCs w:val="32"/>
        </w:rPr>
        <w:t>集成学习方案</w:t>
      </w:r>
    </w:p>
    <w:p w14:paraId="0FF8F9FD">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6.1 集成动机</w:t>
      </w:r>
    </w:p>
    <w:p w14:paraId="113A907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精确率与召回率之间存在天然的权衡关系：启用数据增强的模型（Run1）精确率71.43%，但召回率受限于88.89%；无数据增强的模型（Run4）召回率可达94.44%，但精确率仅42.50%。两种配置各有优劣，无法通过单一模型同时满足所有目标。</w:t>
      </w:r>
    </w:p>
    <w:p w14:paraId="42C5F852">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6.2 集成策略对比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443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6FAD71B">
            <w:pPr>
              <w:spacing w:after="0" w:line="240" w:lineRule="auto"/>
              <w:jc w:val="center"/>
            </w:pPr>
            <w:r>
              <w:rPr>
                <w:rFonts w:ascii="黑体" w:hAnsi="黑体" w:eastAsia="黑体"/>
                <w:b/>
                <w:sz w:val="20"/>
              </w:rPr>
              <w:t>策略</w:t>
            </w:r>
          </w:p>
        </w:tc>
        <w:tc>
          <w:tcPr>
            <w:tcW w:w="1728" w:type="dxa"/>
          </w:tcPr>
          <w:p w14:paraId="63688A15">
            <w:pPr>
              <w:spacing w:after="0" w:line="240" w:lineRule="auto"/>
              <w:jc w:val="center"/>
            </w:pPr>
            <w:r>
              <w:rPr>
                <w:rFonts w:ascii="黑体" w:hAnsi="黑体" w:eastAsia="黑体"/>
                <w:b/>
                <w:sz w:val="20"/>
              </w:rPr>
              <w:t>精确率</w:t>
            </w:r>
          </w:p>
        </w:tc>
        <w:tc>
          <w:tcPr>
            <w:tcW w:w="1728" w:type="dxa"/>
          </w:tcPr>
          <w:p w14:paraId="028D834F">
            <w:pPr>
              <w:spacing w:after="0" w:line="240" w:lineRule="auto"/>
              <w:jc w:val="center"/>
            </w:pPr>
            <w:r>
              <w:rPr>
                <w:rFonts w:ascii="黑体" w:hAnsi="黑体" w:eastAsia="黑体"/>
                <w:b/>
                <w:sz w:val="20"/>
              </w:rPr>
              <w:t>召回率</w:t>
            </w:r>
          </w:p>
        </w:tc>
        <w:tc>
          <w:tcPr>
            <w:tcW w:w="1728" w:type="dxa"/>
          </w:tcPr>
          <w:p w14:paraId="5AAFD0FF">
            <w:pPr>
              <w:spacing w:after="0" w:line="240" w:lineRule="auto"/>
              <w:jc w:val="center"/>
            </w:pPr>
            <w:r>
              <w:rPr>
                <w:rFonts w:ascii="黑体" w:hAnsi="黑体" w:eastAsia="黑体"/>
                <w:b/>
                <w:sz w:val="20"/>
              </w:rPr>
              <w:t>F1</w:t>
            </w:r>
          </w:p>
        </w:tc>
        <w:tc>
          <w:tcPr>
            <w:tcW w:w="1728" w:type="dxa"/>
          </w:tcPr>
          <w:p w14:paraId="00CAE715">
            <w:pPr>
              <w:spacing w:after="0" w:line="240" w:lineRule="auto"/>
              <w:jc w:val="center"/>
            </w:pPr>
            <w:r>
              <w:rPr>
                <w:rFonts w:ascii="黑体" w:hAnsi="黑体" w:eastAsia="黑体"/>
                <w:b/>
                <w:sz w:val="20"/>
              </w:rPr>
              <w:t>结论</w:t>
            </w:r>
          </w:p>
        </w:tc>
      </w:tr>
      <w:tr w14:paraId="46F7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45CDD7C">
            <w:pPr>
              <w:spacing w:after="0" w:line="240" w:lineRule="auto"/>
            </w:pPr>
            <w:r>
              <w:rPr>
                <w:rFonts w:ascii="宋体" w:hAnsi="宋体" w:eastAsia="宋体"/>
                <w:sz w:val="18"/>
              </w:rPr>
              <w:t>Run1单模型</w:t>
            </w:r>
          </w:p>
        </w:tc>
        <w:tc>
          <w:tcPr>
            <w:tcW w:w="1728" w:type="dxa"/>
          </w:tcPr>
          <w:p w14:paraId="2B58452D">
            <w:pPr>
              <w:spacing w:after="0" w:line="240" w:lineRule="auto"/>
              <w:jc w:val="center"/>
            </w:pPr>
            <w:r>
              <w:rPr>
                <w:rFonts w:ascii="宋体" w:hAnsi="宋体" w:eastAsia="宋体"/>
                <w:sz w:val="18"/>
              </w:rPr>
              <w:t>71.43%</w:t>
            </w:r>
          </w:p>
        </w:tc>
        <w:tc>
          <w:tcPr>
            <w:tcW w:w="1728" w:type="dxa"/>
          </w:tcPr>
          <w:p w14:paraId="14D9D7A6">
            <w:pPr>
              <w:spacing w:after="0" w:line="240" w:lineRule="auto"/>
              <w:jc w:val="center"/>
            </w:pPr>
            <w:r>
              <w:rPr>
                <w:rFonts w:ascii="宋体" w:hAnsi="宋体" w:eastAsia="宋体"/>
                <w:sz w:val="18"/>
              </w:rPr>
              <w:t>88.89%</w:t>
            </w:r>
          </w:p>
        </w:tc>
        <w:tc>
          <w:tcPr>
            <w:tcW w:w="1728" w:type="dxa"/>
          </w:tcPr>
          <w:p w14:paraId="4E940D70">
            <w:pPr>
              <w:spacing w:after="0" w:line="240" w:lineRule="auto"/>
              <w:jc w:val="center"/>
            </w:pPr>
            <w:r>
              <w:rPr>
                <w:rFonts w:ascii="宋体" w:hAnsi="宋体" w:eastAsia="宋体"/>
                <w:sz w:val="18"/>
              </w:rPr>
              <w:t>76.92%</w:t>
            </w:r>
          </w:p>
        </w:tc>
        <w:tc>
          <w:tcPr>
            <w:tcW w:w="1728" w:type="dxa"/>
          </w:tcPr>
          <w:p w14:paraId="775D1EF7">
            <w:pPr>
              <w:spacing w:after="0" w:line="240" w:lineRule="auto"/>
            </w:pPr>
            <w:r>
              <w:rPr>
                <w:rFonts w:ascii="宋体" w:hAnsi="宋体" w:eastAsia="宋体"/>
                <w:sz w:val="18"/>
              </w:rPr>
              <w:t>F1未达标</w:t>
            </w:r>
          </w:p>
        </w:tc>
      </w:tr>
      <w:tr w14:paraId="17D3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A1C142">
            <w:pPr>
              <w:spacing w:after="0" w:line="240" w:lineRule="auto"/>
            </w:pPr>
            <w:r>
              <w:rPr>
                <w:rFonts w:ascii="宋体" w:hAnsi="宋体" w:eastAsia="宋体"/>
                <w:sz w:val="18"/>
              </w:rPr>
              <w:t>Run4单模型</w:t>
            </w:r>
          </w:p>
        </w:tc>
        <w:tc>
          <w:tcPr>
            <w:tcW w:w="1728" w:type="dxa"/>
          </w:tcPr>
          <w:p w14:paraId="59DAB6E4">
            <w:pPr>
              <w:spacing w:after="0" w:line="240" w:lineRule="auto"/>
              <w:jc w:val="center"/>
            </w:pPr>
            <w:r>
              <w:rPr>
                <w:rFonts w:ascii="宋体" w:hAnsi="宋体" w:eastAsia="宋体"/>
                <w:sz w:val="18"/>
              </w:rPr>
              <w:t>42.50%</w:t>
            </w:r>
          </w:p>
        </w:tc>
        <w:tc>
          <w:tcPr>
            <w:tcW w:w="1728" w:type="dxa"/>
          </w:tcPr>
          <w:p w14:paraId="08694652">
            <w:pPr>
              <w:spacing w:after="0" w:line="240" w:lineRule="auto"/>
              <w:jc w:val="center"/>
            </w:pPr>
            <w:r>
              <w:rPr>
                <w:rFonts w:ascii="宋体" w:hAnsi="宋体" w:eastAsia="宋体"/>
                <w:sz w:val="18"/>
              </w:rPr>
              <w:t>94.44%</w:t>
            </w:r>
          </w:p>
        </w:tc>
        <w:tc>
          <w:tcPr>
            <w:tcW w:w="1728" w:type="dxa"/>
          </w:tcPr>
          <w:p w14:paraId="41C4FC0A">
            <w:pPr>
              <w:spacing w:after="0" w:line="240" w:lineRule="auto"/>
              <w:jc w:val="center"/>
            </w:pPr>
            <w:r>
              <w:rPr>
                <w:rFonts w:ascii="宋体" w:hAnsi="宋体" w:eastAsia="宋体"/>
                <w:sz w:val="18"/>
              </w:rPr>
              <w:t>58.62%</w:t>
            </w:r>
          </w:p>
        </w:tc>
        <w:tc>
          <w:tcPr>
            <w:tcW w:w="1728" w:type="dxa"/>
          </w:tcPr>
          <w:p w14:paraId="5EE88F2C">
            <w:pPr>
              <w:spacing w:after="0" w:line="240" w:lineRule="auto"/>
            </w:pPr>
            <w:r>
              <w:rPr>
                <w:rFonts w:ascii="宋体" w:hAnsi="宋体" w:eastAsia="宋体"/>
                <w:sz w:val="18"/>
              </w:rPr>
              <w:t>精确率未达标</w:t>
            </w:r>
          </w:p>
        </w:tc>
      </w:tr>
      <w:tr w14:paraId="3E548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382996E">
            <w:pPr>
              <w:spacing w:after="0" w:line="240" w:lineRule="auto"/>
            </w:pPr>
            <w:r>
              <w:rPr>
                <w:rFonts w:ascii="宋体" w:hAnsi="宋体" w:eastAsia="宋体"/>
                <w:sz w:val="18"/>
              </w:rPr>
              <w:t>策略A(硬投票AND)</w:t>
            </w:r>
          </w:p>
        </w:tc>
        <w:tc>
          <w:tcPr>
            <w:tcW w:w="1728" w:type="dxa"/>
          </w:tcPr>
          <w:p w14:paraId="4C3C5DBD">
            <w:pPr>
              <w:spacing w:after="0" w:line="240" w:lineRule="auto"/>
              <w:jc w:val="center"/>
            </w:pPr>
            <w:r>
              <w:rPr>
                <w:rFonts w:ascii="宋体" w:hAnsi="宋体" w:eastAsia="宋体"/>
                <w:sz w:val="18"/>
              </w:rPr>
              <w:t>71.43%</w:t>
            </w:r>
          </w:p>
        </w:tc>
        <w:tc>
          <w:tcPr>
            <w:tcW w:w="1728" w:type="dxa"/>
          </w:tcPr>
          <w:p w14:paraId="2FB433AB">
            <w:pPr>
              <w:spacing w:after="0" w:line="240" w:lineRule="auto"/>
              <w:jc w:val="center"/>
            </w:pPr>
            <w:r>
              <w:rPr>
                <w:rFonts w:ascii="宋体" w:hAnsi="宋体" w:eastAsia="宋体"/>
                <w:sz w:val="18"/>
              </w:rPr>
              <w:t>83.33%</w:t>
            </w:r>
          </w:p>
        </w:tc>
        <w:tc>
          <w:tcPr>
            <w:tcW w:w="1728" w:type="dxa"/>
          </w:tcPr>
          <w:p w14:paraId="230DD57E">
            <w:pPr>
              <w:spacing w:after="0" w:line="240" w:lineRule="auto"/>
              <w:jc w:val="center"/>
            </w:pPr>
            <w:r>
              <w:rPr>
                <w:rFonts w:ascii="宋体" w:hAnsi="宋体" w:eastAsia="宋体"/>
                <w:sz w:val="18"/>
              </w:rPr>
              <w:t>76.92%</w:t>
            </w:r>
          </w:p>
        </w:tc>
        <w:tc>
          <w:tcPr>
            <w:tcW w:w="1728" w:type="dxa"/>
          </w:tcPr>
          <w:p w14:paraId="6BD33440">
            <w:pPr>
              <w:spacing w:after="0" w:line="240" w:lineRule="auto"/>
            </w:pPr>
            <w:r>
              <w:rPr>
                <w:rFonts w:ascii="宋体" w:hAnsi="宋体" w:eastAsia="宋体"/>
                <w:sz w:val="18"/>
              </w:rPr>
              <w:t>召回率未达标</w:t>
            </w:r>
          </w:p>
        </w:tc>
      </w:tr>
      <w:tr w14:paraId="0B6F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EFC301">
            <w:pPr>
              <w:spacing w:after="0" w:line="240" w:lineRule="auto"/>
            </w:pPr>
            <w:r>
              <w:rPr>
                <w:rFonts w:ascii="宋体" w:hAnsi="宋体" w:eastAsia="宋体"/>
                <w:sz w:val="18"/>
              </w:rPr>
              <w:t>策略B(硬投票OR)</w:t>
            </w:r>
          </w:p>
        </w:tc>
        <w:tc>
          <w:tcPr>
            <w:tcW w:w="1728" w:type="dxa"/>
          </w:tcPr>
          <w:p w14:paraId="04158186">
            <w:pPr>
              <w:spacing w:after="0" w:line="240" w:lineRule="auto"/>
              <w:jc w:val="center"/>
            </w:pPr>
            <w:r>
              <w:rPr>
                <w:rFonts w:ascii="宋体" w:hAnsi="宋体" w:eastAsia="宋体"/>
                <w:sz w:val="18"/>
              </w:rPr>
              <w:t>53.33%</w:t>
            </w:r>
          </w:p>
        </w:tc>
        <w:tc>
          <w:tcPr>
            <w:tcW w:w="1728" w:type="dxa"/>
          </w:tcPr>
          <w:p w14:paraId="05A53E03">
            <w:pPr>
              <w:spacing w:after="0" w:line="240" w:lineRule="auto"/>
              <w:jc w:val="center"/>
            </w:pPr>
            <w:r>
              <w:rPr>
                <w:rFonts w:ascii="宋体" w:hAnsi="宋体" w:eastAsia="宋体"/>
                <w:sz w:val="18"/>
              </w:rPr>
              <w:t>88.89%</w:t>
            </w:r>
          </w:p>
        </w:tc>
        <w:tc>
          <w:tcPr>
            <w:tcW w:w="1728" w:type="dxa"/>
          </w:tcPr>
          <w:p w14:paraId="0B12566D">
            <w:pPr>
              <w:spacing w:after="0" w:line="240" w:lineRule="auto"/>
              <w:jc w:val="center"/>
            </w:pPr>
            <w:r>
              <w:rPr>
                <w:rFonts w:ascii="宋体" w:hAnsi="宋体" w:eastAsia="宋体"/>
                <w:sz w:val="18"/>
              </w:rPr>
              <w:t>66.67%</w:t>
            </w:r>
          </w:p>
        </w:tc>
        <w:tc>
          <w:tcPr>
            <w:tcW w:w="1728" w:type="dxa"/>
          </w:tcPr>
          <w:p w14:paraId="4279629F">
            <w:pPr>
              <w:spacing w:after="0" w:line="240" w:lineRule="auto"/>
            </w:pPr>
            <w:r>
              <w:rPr>
                <w:rFonts w:ascii="宋体" w:hAnsi="宋体" w:eastAsia="宋体"/>
                <w:sz w:val="18"/>
              </w:rPr>
              <w:t>精确率未达标</w:t>
            </w:r>
          </w:p>
        </w:tc>
      </w:tr>
      <w:tr w14:paraId="1CF6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C5069B">
            <w:pPr>
              <w:spacing w:after="0" w:line="240" w:lineRule="auto"/>
            </w:pPr>
            <w:r>
              <w:rPr>
                <w:rFonts w:ascii="宋体" w:hAnsi="宋体" w:eastAsia="宋体"/>
                <w:sz w:val="18"/>
              </w:rPr>
              <w:t>策略C(软投票均值)</w:t>
            </w:r>
          </w:p>
        </w:tc>
        <w:tc>
          <w:tcPr>
            <w:tcW w:w="1728" w:type="dxa"/>
          </w:tcPr>
          <w:p w14:paraId="31D82E99">
            <w:pPr>
              <w:spacing w:after="0" w:line="240" w:lineRule="auto"/>
              <w:jc w:val="center"/>
            </w:pPr>
            <w:r>
              <w:rPr>
                <w:rFonts w:ascii="宋体" w:hAnsi="宋体" w:eastAsia="宋体"/>
                <w:sz w:val="18"/>
              </w:rPr>
              <w:t>75.00%</w:t>
            </w:r>
          </w:p>
        </w:tc>
        <w:tc>
          <w:tcPr>
            <w:tcW w:w="1728" w:type="dxa"/>
          </w:tcPr>
          <w:p w14:paraId="414B70A4">
            <w:pPr>
              <w:spacing w:after="0" w:line="240" w:lineRule="auto"/>
              <w:jc w:val="center"/>
            </w:pPr>
            <w:r>
              <w:rPr>
                <w:rFonts w:ascii="宋体" w:hAnsi="宋体" w:eastAsia="宋体"/>
                <w:sz w:val="18"/>
              </w:rPr>
              <w:t>83.33%</w:t>
            </w:r>
          </w:p>
        </w:tc>
        <w:tc>
          <w:tcPr>
            <w:tcW w:w="1728" w:type="dxa"/>
          </w:tcPr>
          <w:p w14:paraId="1E216816">
            <w:pPr>
              <w:spacing w:after="0" w:line="240" w:lineRule="auto"/>
              <w:jc w:val="center"/>
            </w:pPr>
            <w:r>
              <w:rPr>
                <w:rFonts w:ascii="宋体" w:hAnsi="宋体" w:eastAsia="宋体"/>
                <w:sz w:val="18"/>
              </w:rPr>
              <w:t>78.95%</w:t>
            </w:r>
          </w:p>
        </w:tc>
        <w:tc>
          <w:tcPr>
            <w:tcW w:w="1728" w:type="dxa"/>
          </w:tcPr>
          <w:p w14:paraId="29933762">
            <w:pPr>
              <w:spacing w:after="0" w:line="240" w:lineRule="auto"/>
            </w:pPr>
            <w:r>
              <w:rPr>
                <w:rFonts w:ascii="宋体" w:hAnsi="宋体" w:eastAsia="宋体"/>
                <w:sz w:val="18"/>
              </w:rPr>
              <w:t>✓精确率+F1达标</w:t>
            </w:r>
          </w:p>
        </w:tc>
      </w:tr>
      <w:tr w14:paraId="1B9F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FB57F9">
            <w:pPr>
              <w:spacing w:after="0" w:line="240" w:lineRule="auto"/>
            </w:pPr>
            <w:r>
              <w:rPr>
                <w:rFonts w:ascii="宋体" w:hAnsi="宋体" w:eastAsia="宋体"/>
                <w:sz w:val="18"/>
              </w:rPr>
              <w:t>策略D(加权0.3:0.7)</w:t>
            </w:r>
          </w:p>
        </w:tc>
        <w:tc>
          <w:tcPr>
            <w:tcW w:w="1728" w:type="dxa"/>
          </w:tcPr>
          <w:p w14:paraId="1A39E560">
            <w:pPr>
              <w:spacing w:after="0" w:line="240" w:lineRule="auto"/>
              <w:jc w:val="center"/>
            </w:pPr>
            <w:r>
              <w:rPr>
                <w:rFonts w:ascii="宋体" w:hAnsi="宋体" w:eastAsia="宋体"/>
                <w:sz w:val="18"/>
              </w:rPr>
              <w:t>64.29%</w:t>
            </w:r>
          </w:p>
        </w:tc>
        <w:tc>
          <w:tcPr>
            <w:tcW w:w="1728" w:type="dxa"/>
          </w:tcPr>
          <w:p w14:paraId="311A3DD8">
            <w:pPr>
              <w:spacing w:after="0" w:line="240" w:lineRule="auto"/>
              <w:jc w:val="center"/>
            </w:pPr>
            <w:r>
              <w:rPr>
                <w:rFonts w:ascii="宋体" w:hAnsi="宋体" w:eastAsia="宋体"/>
                <w:sz w:val="18"/>
              </w:rPr>
              <w:t>72.22%</w:t>
            </w:r>
          </w:p>
        </w:tc>
        <w:tc>
          <w:tcPr>
            <w:tcW w:w="1728" w:type="dxa"/>
          </w:tcPr>
          <w:p w14:paraId="0A3ED53A">
            <w:pPr>
              <w:spacing w:after="0" w:line="240" w:lineRule="auto"/>
              <w:jc w:val="center"/>
            </w:pPr>
            <w:r>
              <w:rPr>
                <w:rFonts w:ascii="宋体" w:hAnsi="宋体" w:eastAsia="宋体"/>
                <w:sz w:val="18"/>
              </w:rPr>
              <w:t>81.25%</w:t>
            </w:r>
          </w:p>
        </w:tc>
        <w:tc>
          <w:tcPr>
            <w:tcW w:w="1728" w:type="dxa"/>
          </w:tcPr>
          <w:p w14:paraId="0B6C69FF">
            <w:pPr>
              <w:spacing w:after="0" w:line="240" w:lineRule="auto"/>
            </w:pPr>
            <w:r>
              <w:rPr>
                <w:rFonts w:ascii="宋体" w:hAnsi="宋体" w:eastAsia="宋体"/>
                <w:sz w:val="18"/>
              </w:rPr>
              <w:t>召回率未达标</w:t>
            </w:r>
          </w:p>
        </w:tc>
      </w:tr>
    </w:tbl>
    <w:p w14:paraId="45FF821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最终选定：策略C（软投票平均，阈值=0.70）</w:t>
      </w:r>
    </w:p>
    <w:p w14:paraId="765072DA">
      <w:pPr>
        <w:spacing w:before="120" w:after="60" w:line="360" w:lineRule="auto"/>
        <w:jc w:val="center"/>
      </w:pPr>
      <w:r>
        <w:drawing>
          <wp:inline distT="0" distB="0" distL="114300" distR="114300">
            <wp:extent cx="5172075" cy="3285490"/>
            <wp:effectExtent l="0" t="0" r="952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72075" cy="3285490"/>
                    </a:xfrm>
                    <a:prstGeom prst="rect">
                      <a:avLst/>
                    </a:prstGeom>
                  </pic:spPr>
                </pic:pic>
              </a:graphicData>
            </a:graphic>
          </wp:inline>
        </w:drawing>
      </w:r>
    </w:p>
    <w:p w14:paraId="14232F6E">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图6-2 集成策略性能对比</w:t>
      </w:r>
    </w:p>
    <w:p w14:paraId="6E682545">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6.3 集成推理流程</w:t>
      </w:r>
    </w:p>
    <w:p w14:paraId="75655FD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1. 加载模型A（Run1）和模型B（Run4）的权重</w:t>
      </w:r>
    </w:p>
    <w:p w14:paraId="2C8A6DE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2. 将同一测试样本分别输入两个模型，获取Fall类概率p_A和p_B</w:t>
      </w:r>
    </w:p>
    <w:p w14:paraId="2C27AE07">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3. 计算集成概率：p_ensemble = 0.5 × p_A + 0.5 × p_B</w:t>
      </w:r>
    </w:p>
    <w:p w14:paraId="40F31E1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4. 若p_ensemble ≥ 0.70，判定为摔倒；否则判定为正常</w:t>
      </w:r>
    </w:p>
    <w:p w14:paraId="3B54B0E4">
      <w:r>
        <w:br w:type="page"/>
      </w:r>
    </w:p>
    <w:p w14:paraId="3F5CB4D7">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七.</w:t>
      </w:r>
      <w:r>
        <w:rPr>
          <w:rFonts w:ascii="Times New Roman" w:hAnsi="Times New Roman" w:eastAsia="黑体" w:cs="Times New Roman"/>
          <w:b/>
          <w:bCs/>
          <w:sz w:val="32"/>
          <w:szCs w:val="32"/>
        </w:rPr>
        <w:t>实验设计与结果分析</w:t>
      </w:r>
    </w:p>
    <w:p w14:paraId="70EC3515">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7.1 数据集与实验环境</w:t>
      </w:r>
    </w:p>
    <w:p w14:paraId="4DE4845F">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数据集：UR Fall Detection Dataset，140个视频（70摔倒+70正常）</w:t>
      </w:r>
    </w:p>
    <w:p w14:paraId="4A7651B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训练集：360例（Normal 294 + Fall 66）</w:t>
      </w:r>
    </w:p>
    <w:p w14:paraId="58C7D00D">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验证集：87例（Normal 79 + Fall 8）</w:t>
      </w:r>
    </w:p>
    <w:p w14:paraId="7177DCD9">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测试集：108例（Normal 90 + Fall 18）</w:t>
      </w:r>
    </w:p>
    <w:p w14:paraId="74E2363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环境：Python 3.13 / PyTorch 2.x / YOLOv8n-pose / Intel i5 / 8GB RAM（无GPU）</w:t>
      </w:r>
    </w:p>
    <w:p w14:paraId="10F7BC7D">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7.2 评估指标</w:t>
      </w:r>
    </w:p>
    <w:p w14:paraId="09438F64">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精确率（Precision） = TP / (TP+FP)</w:t>
      </w:r>
    </w:p>
    <w:p w14:paraId="3CD19822">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召回率（Recall） = TP / (TP+FN)</w:t>
      </w:r>
    </w:p>
    <w:p w14:paraId="3BE820C6">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F1分数 = 2×Precision×Recall / (Precision+Recall)</w:t>
      </w:r>
    </w:p>
    <w:p w14:paraId="5E5B6DE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AUC-ROC：ROC曲线下面积</w:t>
      </w:r>
    </w:p>
    <w:p w14:paraId="53380EBF">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7.3 训练超参数配置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2A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F7D6F0">
            <w:pPr>
              <w:spacing w:after="0" w:line="240" w:lineRule="auto"/>
            </w:pPr>
            <w:r>
              <w:rPr>
                <w:rFonts w:ascii="宋体" w:hAnsi="宋体" w:eastAsia="宋体"/>
                <w:sz w:val="20"/>
              </w:rPr>
              <w:t>特征维度</w:t>
            </w:r>
          </w:p>
        </w:tc>
        <w:tc>
          <w:tcPr>
            <w:tcW w:w="4320" w:type="dxa"/>
          </w:tcPr>
          <w:p w14:paraId="0A80845F">
            <w:pPr>
              <w:spacing w:after="0" w:line="240" w:lineRule="auto"/>
            </w:pPr>
            <w:r>
              <w:rPr>
                <w:rFonts w:ascii="宋体" w:hAnsi="宋体" w:eastAsia="宋体"/>
                <w:sz w:val="20"/>
              </w:rPr>
              <w:t>10维（输入）</w:t>
            </w:r>
          </w:p>
        </w:tc>
      </w:tr>
      <w:tr w14:paraId="1DEC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E0F6EB">
            <w:pPr>
              <w:spacing w:after="0" w:line="240" w:lineRule="auto"/>
            </w:pPr>
            <w:r>
              <w:rPr>
                <w:rFonts w:ascii="宋体" w:hAnsi="宋体" w:eastAsia="宋体"/>
                <w:sz w:val="20"/>
              </w:rPr>
              <w:t>序列长度T</w:t>
            </w:r>
          </w:p>
        </w:tc>
        <w:tc>
          <w:tcPr>
            <w:tcW w:w="4320" w:type="dxa"/>
          </w:tcPr>
          <w:p w14:paraId="2B188379">
            <w:pPr>
              <w:spacing w:after="0" w:line="240" w:lineRule="auto"/>
            </w:pPr>
            <w:r>
              <w:rPr>
                <w:rFonts w:ascii="宋体" w:hAnsi="宋体" w:eastAsia="宋体"/>
                <w:sz w:val="20"/>
              </w:rPr>
              <w:t>20帧</w:t>
            </w:r>
          </w:p>
        </w:tc>
      </w:tr>
      <w:tr w14:paraId="49D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6F2B75">
            <w:pPr>
              <w:spacing w:after="0" w:line="240" w:lineRule="auto"/>
            </w:pPr>
            <w:r>
              <w:rPr>
                <w:rFonts w:ascii="宋体" w:hAnsi="宋体" w:eastAsia="宋体"/>
                <w:sz w:val="20"/>
              </w:rPr>
              <w:t>BiLSTM/BiGRU隐层维度</w:t>
            </w:r>
          </w:p>
        </w:tc>
        <w:tc>
          <w:tcPr>
            <w:tcW w:w="4320" w:type="dxa"/>
          </w:tcPr>
          <w:p w14:paraId="6DF58614">
            <w:pPr>
              <w:spacing w:after="0" w:line="240" w:lineRule="auto"/>
            </w:pPr>
            <w:r>
              <w:rPr>
                <w:rFonts w:ascii="宋体" w:hAnsi="宋体" w:eastAsia="宋体"/>
                <w:sz w:val="20"/>
              </w:rPr>
              <w:t>128</w:t>
            </w:r>
          </w:p>
        </w:tc>
      </w:tr>
      <w:tr w14:paraId="750F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8D973E">
            <w:pPr>
              <w:spacing w:after="0" w:line="240" w:lineRule="auto"/>
            </w:pPr>
            <w:r>
              <w:rPr>
                <w:rFonts w:ascii="宋体" w:hAnsi="宋体" w:eastAsia="宋体"/>
                <w:sz w:val="20"/>
              </w:rPr>
              <w:t>注意力头数</w:t>
            </w:r>
          </w:p>
        </w:tc>
        <w:tc>
          <w:tcPr>
            <w:tcW w:w="4320" w:type="dxa"/>
          </w:tcPr>
          <w:p w14:paraId="78CB27A0">
            <w:pPr>
              <w:spacing w:after="0" w:line="240" w:lineRule="auto"/>
            </w:pPr>
            <w:r>
              <w:rPr>
                <w:rFonts w:ascii="宋体" w:hAnsi="宋体" w:eastAsia="宋体"/>
                <w:sz w:val="20"/>
              </w:rPr>
              <w:t>4</w:t>
            </w:r>
          </w:p>
        </w:tc>
      </w:tr>
      <w:tr w14:paraId="14E4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C82D73">
            <w:pPr>
              <w:spacing w:after="0" w:line="240" w:lineRule="auto"/>
            </w:pPr>
            <w:r>
              <w:rPr>
                <w:rFonts w:ascii="宋体" w:hAnsi="宋体" w:eastAsia="宋体"/>
                <w:sz w:val="20"/>
              </w:rPr>
              <w:t>Dropout</w:t>
            </w:r>
          </w:p>
        </w:tc>
        <w:tc>
          <w:tcPr>
            <w:tcW w:w="4320" w:type="dxa"/>
          </w:tcPr>
          <w:p w14:paraId="06844411">
            <w:pPr>
              <w:spacing w:after="0" w:line="240" w:lineRule="auto"/>
            </w:pPr>
            <w:r>
              <w:rPr>
                <w:rFonts w:ascii="宋体" w:hAnsi="宋体" w:eastAsia="宋体"/>
                <w:sz w:val="20"/>
              </w:rPr>
              <w:t>0.3</w:t>
            </w:r>
          </w:p>
        </w:tc>
      </w:tr>
      <w:tr w14:paraId="07DC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F2AD07">
            <w:pPr>
              <w:spacing w:after="0" w:line="240" w:lineRule="auto"/>
            </w:pPr>
            <w:r>
              <w:rPr>
                <w:rFonts w:ascii="宋体" w:hAnsi="宋体" w:eastAsia="宋体"/>
                <w:sz w:val="20"/>
              </w:rPr>
              <w:t>Focal Loss α/γ</w:t>
            </w:r>
          </w:p>
        </w:tc>
        <w:tc>
          <w:tcPr>
            <w:tcW w:w="4320" w:type="dxa"/>
          </w:tcPr>
          <w:p w14:paraId="608D9E4F">
            <w:pPr>
              <w:spacing w:after="0" w:line="240" w:lineRule="auto"/>
            </w:pPr>
            <w:r>
              <w:rPr>
                <w:rFonts w:ascii="宋体" w:hAnsi="宋体" w:eastAsia="宋体"/>
                <w:sz w:val="20"/>
              </w:rPr>
              <w:t>2.0 / 2.0</w:t>
            </w:r>
          </w:p>
        </w:tc>
      </w:tr>
    </w:tbl>
    <w:p w14:paraId="422023D9"/>
    <w:p w14:paraId="744C08D4">
      <w:pPr>
        <w:jc w:val="center"/>
        <w:rPr>
          <w:rFonts w:hint="eastAsia" w:ascii="宋体" w:hAnsi="宋体" w:eastAsia="宋体" w:cs="宋体"/>
          <w:sz w:val="21"/>
          <w:szCs w:val="21"/>
        </w:rPr>
      </w:pPr>
      <w:r>
        <w:rPr>
          <w:rFonts w:hint="eastAsia" w:eastAsia="宋体"/>
          <w:lang w:eastAsia="zh-CN"/>
        </w:rPr>
        <w:drawing>
          <wp:inline distT="0" distB="0" distL="114300" distR="114300">
            <wp:extent cx="5665470" cy="3751580"/>
            <wp:effectExtent l="0" t="0" r="11430" b="7620"/>
            <wp:docPr id="8" name="图片 8" descr="enhanced_training_history_20260508_13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nhanced_training_history_20260508_131605"/>
                    <pic:cNvPicPr>
                      <a:picLocks noChangeAspect="1"/>
                    </pic:cNvPicPr>
                  </pic:nvPicPr>
                  <pic:blipFill>
                    <a:blip r:embed="rId10"/>
                    <a:stretch>
                      <a:fillRect/>
                    </a:stretch>
                  </pic:blipFill>
                  <pic:spPr>
                    <a:xfrm>
                      <a:off x="0" y="0"/>
                      <a:ext cx="5665470" cy="3751580"/>
                    </a:xfrm>
                    <a:prstGeom prst="rect">
                      <a:avLst/>
                    </a:prstGeom>
                  </pic:spPr>
                </pic:pic>
              </a:graphicData>
            </a:graphic>
          </wp:inline>
        </w:drawing>
      </w:r>
      <w:r>
        <w:rPr>
          <w:rFonts w:hint="eastAsia" w:ascii="宋体" w:hAnsi="宋体" w:eastAsia="宋体" w:cs="宋体"/>
          <w:b/>
          <w:bCs/>
          <w:i w:val="0"/>
          <w:iCs w:val="0"/>
          <w:caps w:val="0"/>
          <w:color w:val="3B3B3B"/>
          <w:spacing w:val="0"/>
          <w:sz w:val="21"/>
          <w:szCs w:val="21"/>
          <w:shd w:val="clear" w:fill="FFFFFF"/>
        </w:rPr>
        <w:t>图7-1 模型训练过程曲线（30个epoch）</w:t>
      </w:r>
    </w:p>
    <w:p w14:paraId="7ACFAA08">
      <w:pPr>
        <w:rPr>
          <w:rFonts w:hint="eastAsia" w:eastAsia="宋体"/>
          <w:lang w:eastAsia="zh-CN"/>
        </w:rPr>
      </w:pPr>
    </w:p>
    <w:p w14:paraId="05AEC907">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7.4 训练结果对比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4B9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C524C8">
            <w:pPr>
              <w:spacing w:after="0" w:line="240" w:lineRule="auto"/>
              <w:jc w:val="center"/>
            </w:pPr>
            <w:r>
              <w:rPr>
                <w:rFonts w:ascii="黑体" w:hAnsi="黑体" w:eastAsia="黑体"/>
                <w:b/>
                <w:sz w:val="20"/>
              </w:rPr>
              <w:t>实验</w:t>
            </w:r>
          </w:p>
        </w:tc>
        <w:tc>
          <w:tcPr>
            <w:tcW w:w="2160" w:type="dxa"/>
          </w:tcPr>
          <w:p w14:paraId="5D947BAF">
            <w:pPr>
              <w:spacing w:after="0" w:line="240" w:lineRule="auto"/>
              <w:jc w:val="center"/>
            </w:pPr>
            <w:r>
              <w:rPr>
                <w:rFonts w:ascii="黑体" w:hAnsi="黑体" w:eastAsia="黑体"/>
                <w:b/>
                <w:sz w:val="20"/>
              </w:rPr>
              <w:t>精确率</w:t>
            </w:r>
          </w:p>
        </w:tc>
        <w:tc>
          <w:tcPr>
            <w:tcW w:w="2160" w:type="dxa"/>
          </w:tcPr>
          <w:p w14:paraId="77B1441C">
            <w:pPr>
              <w:spacing w:after="0" w:line="240" w:lineRule="auto"/>
              <w:jc w:val="center"/>
            </w:pPr>
            <w:r>
              <w:rPr>
                <w:rFonts w:ascii="黑体" w:hAnsi="黑体" w:eastAsia="黑体"/>
                <w:b/>
                <w:sz w:val="20"/>
              </w:rPr>
              <w:t>召回率</w:t>
            </w:r>
          </w:p>
        </w:tc>
        <w:tc>
          <w:tcPr>
            <w:tcW w:w="2160" w:type="dxa"/>
          </w:tcPr>
          <w:p w14:paraId="4540D655">
            <w:pPr>
              <w:spacing w:after="0" w:line="240" w:lineRule="auto"/>
              <w:jc w:val="center"/>
            </w:pPr>
            <w:r>
              <w:rPr>
                <w:rFonts w:ascii="黑体" w:hAnsi="黑体" w:eastAsia="黑体"/>
                <w:b/>
                <w:sz w:val="20"/>
              </w:rPr>
              <w:t>F1分数</w:t>
            </w:r>
          </w:p>
        </w:tc>
      </w:tr>
      <w:tr w14:paraId="1C06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8CDE44">
            <w:pPr>
              <w:spacing w:after="0" w:line="240" w:lineRule="auto"/>
            </w:pPr>
            <w:r>
              <w:rPr>
                <w:rFonts w:ascii="宋体" w:hAnsi="宋体" w:eastAsia="宋体"/>
                <w:sz w:val="18"/>
              </w:rPr>
              <w:t>Run 1 基线(Full)</w:t>
            </w:r>
          </w:p>
        </w:tc>
        <w:tc>
          <w:tcPr>
            <w:tcW w:w="2160" w:type="dxa"/>
          </w:tcPr>
          <w:p w14:paraId="46C211E6">
            <w:pPr>
              <w:spacing w:after="0" w:line="240" w:lineRule="auto"/>
              <w:jc w:val="center"/>
            </w:pPr>
            <w:r>
              <w:rPr>
                <w:rFonts w:ascii="宋体" w:hAnsi="宋体" w:eastAsia="宋体"/>
                <w:sz w:val="18"/>
              </w:rPr>
              <w:t>71.43%</w:t>
            </w:r>
          </w:p>
        </w:tc>
        <w:tc>
          <w:tcPr>
            <w:tcW w:w="2160" w:type="dxa"/>
          </w:tcPr>
          <w:p w14:paraId="67500205">
            <w:pPr>
              <w:spacing w:after="0" w:line="240" w:lineRule="auto"/>
              <w:jc w:val="center"/>
            </w:pPr>
            <w:r>
              <w:rPr>
                <w:rFonts w:ascii="宋体" w:hAnsi="宋体" w:eastAsia="宋体"/>
                <w:sz w:val="18"/>
              </w:rPr>
              <w:t>88.89%</w:t>
            </w:r>
          </w:p>
        </w:tc>
        <w:tc>
          <w:tcPr>
            <w:tcW w:w="2160" w:type="dxa"/>
          </w:tcPr>
          <w:p w14:paraId="595EFD4F">
            <w:pPr>
              <w:spacing w:after="0" w:line="240" w:lineRule="auto"/>
              <w:jc w:val="center"/>
            </w:pPr>
            <w:r>
              <w:rPr>
                <w:rFonts w:ascii="宋体" w:hAnsi="宋体" w:eastAsia="宋体"/>
                <w:sz w:val="18"/>
              </w:rPr>
              <w:t>76.92%</w:t>
            </w:r>
          </w:p>
        </w:tc>
      </w:tr>
      <w:tr w14:paraId="0B7F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A4B13B">
            <w:pPr>
              <w:spacing w:after="0" w:line="240" w:lineRule="auto"/>
            </w:pPr>
            <w:r>
              <w:rPr>
                <w:rFonts w:ascii="宋体" w:hAnsi="宋体" w:eastAsia="宋体"/>
                <w:sz w:val="18"/>
              </w:rPr>
              <w:t>Run 2 +Dropout=0.5 +WD=5e-4</w:t>
            </w:r>
          </w:p>
        </w:tc>
        <w:tc>
          <w:tcPr>
            <w:tcW w:w="2160" w:type="dxa"/>
          </w:tcPr>
          <w:p w14:paraId="310141CB">
            <w:pPr>
              <w:spacing w:after="0" w:line="240" w:lineRule="auto"/>
              <w:jc w:val="center"/>
            </w:pPr>
            <w:r>
              <w:rPr>
                <w:rFonts w:ascii="宋体" w:hAnsi="宋体" w:eastAsia="宋体"/>
                <w:sz w:val="18"/>
              </w:rPr>
              <w:t>85.71%</w:t>
            </w:r>
          </w:p>
        </w:tc>
        <w:tc>
          <w:tcPr>
            <w:tcW w:w="2160" w:type="dxa"/>
          </w:tcPr>
          <w:p w14:paraId="2DC85D4F">
            <w:pPr>
              <w:spacing w:after="0" w:line="240" w:lineRule="auto"/>
              <w:jc w:val="center"/>
            </w:pPr>
            <w:r>
              <w:rPr>
                <w:rFonts w:ascii="宋体" w:hAnsi="宋体" w:eastAsia="宋体"/>
                <w:sz w:val="18"/>
              </w:rPr>
              <w:t>66.67%</w:t>
            </w:r>
          </w:p>
        </w:tc>
        <w:tc>
          <w:tcPr>
            <w:tcW w:w="2160" w:type="dxa"/>
          </w:tcPr>
          <w:p w14:paraId="40FAA051">
            <w:pPr>
              <w:spacing w:after="0" w:line="240" w:lineRule="auto"/>
              <w:jc w:val="center"/>
            </w:pPr>
            <w:r>
              <w:rPr>
                <w:rFonts w:ascii="宋体" w:hAnsi="宋体" w:eastAsia="宋体"/>
                <w:sz w:val="18"/>
              </w:rPr>
              <w:t>75.00%</w:t>
            </w:r>
          </w:p>
        </w:tc>
      </w:tr>
      <w:tr w14:paraId="6549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9352C7">
            <w:pPr>
              <w:spacing w:after="0" w:line="240" w:lineRule="auto"/>
            </w:pPr>
            <w:r>
              <w:rPr>
                <w:rFonts w:ascii="宋体" w:hAnsi="宋体" w:eastAsia="宋体"/>
                <w:sz w:val="18"/>
              </w:rPr>
              <w:t>Run 3 SMOTE 1:1</w:t>
            </w:r>
          </w:p>
        </w:tc>
        <w:tc>
          <w:tcPr>
            <w:tcW w:w="2160" w:type="dxa"/>
          </w:tcPr>
          <w:p w14:paraId="61C3C55F">
            <w:pPr>
              <w:spacing w:after="0" w:line="240" w:lineRule="auto"/>
              <w:jc w:val="center"/>
            </w:pPr>
            <w:r>
              <w:rPr>
                <w:rFonts w:ascii="宋体" w:hAnsi="宋体" w:eastAsia="宋体"/>
                <w:sz w:val="18"/>
              </w:rPr>
              <w:t>73.68%</w:t>
            </w:r>
          </w:p>
        </w:tc>
        <w:tc>
          <w:tcPr>
            <w:tcW w:w="2160" w:type="dxa"/>
          </w:tcPr>
          <w:p w14:paraId="28F1DF9A">
            <w:pPr>
              <w:spacing w:after="0" w:line="240" w:lineRule="auto"/>
              <w:jc w:val="center"/>
            </w:pPr>
            <w:r>
              <w:rPr>
                <w:rFonts w:ascii="宋体" w:hAnsi="宋体" w:eastAsia="宋体"/>
                <w:sz w:val="18"/>
              </w:rPr>
              <w:t>77.78%</w:t>
            </w:r>
          </w:p>
        </w:tc>
        <w:tc>
          <w:tcPr>
            <w:tcW w:w="2160" w:type="dxa"/>
          </w:tcPr>
          <w:p w14:paraId="40ECD2BB">
            <w:pPr>
              <w:spacing w:after="0" w:line="240" w:lineRule="auto"/>
              <w:jc w:val="center"/>
            </w:pPr>
            <w:r>
              <w:rPr>
                <w:rFonts w:ascii="宋体" w:hAnsi="宋体" w:eastAsia="宋体"/>
                <w:sz w:val="18"/>
              </w:rPr>
              <w:t>75.68%</w:t>
            </w:r>
          </w:p>
        </w:tc>
      </w:tr>
      <w:tr w14:paraId="20F06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C0AB40">
            <w:pPr>
              <w:spacing w:after="0" w:line="240" w:lineRule="auto"/>
            </w:pPr>
            <w:r>
              <w:rPr>
                <w:rFonts w:ascii="宋体" w:hAnsi="宋体" w:eastAsia="宋体"/>
                <w:sz w:val="18"/>
              </w:rPr>
              <w:t>Run 4 关闭Aug</w:t>
            </w:r>
          </w:p>
        </w:tc>
        <w:tc>
          <w:tcPr>
            <w:tcW w:w="2160" w:type="dxa"/>
          </w:tcPr>
          <w:p w14:paraId="4F8899F2">
            <w:pPr>
              <w:spacing w:after="0" w:line="240" w:lineRule="auto"/>
              <w:jc w:val="center"/>
            </w:pPr>
            <w:r>
              <w:rPr>
                <w:rFonts w:ascii="宋体" w:hAnsi="宋体" w:eastAsia="宋体"/>
                <w:sz w:val="18"/>
              </w:rPr>
              <w:t>42.50%</w:t>
            </w:r>
          </w:p>
        </w:tc>
        <w:tc>
          <w:tcPr>
            <w:tcW w:w="2160" w:type="dxa"/>
          </w:tcPr>
          <w:p w14:paraId="12EAEE9B">
            <w:pPr>
              <w:spacing w:after="0" w:line="240" w:lineRule="auto"/>
              <w:jc w:val="center"/>
            </w:pPr>
            <w:r>
              <w:rPr>
                <w:rFonts w:ascii="宋体" w:hAnsi="宋体" w:eastAsia="宋体"/>
                <w:sz w:val="18"/>
              </w:rPr>
              <w:t>94.44%</w:t>
            </w:r>
          </w:p>
        </w:tc>
        <w:tc>
          <w:tcPr>
            <w:tcW w:w="2160" w:type="dxa"/>
          </w:tcPr>
          <w:p w14:paraId="09AB74AA">
            <w:pPr>
              <w:spacing w:after="0" w:line="240" w:lineRule="auto"/>
              <w:jc w:val="center"/>
            </w:pPr>
            <w:r>
              <w:rPr>
                <w:rFonts w:ascii="宋体" w:hAnsi="宋体" w:eastAsia="宋体"/>
                <w:sz w:val="18"/>
              </w:rPr>
              <w:t>58.62%</w:t>
            </w:r>
          </w:p>
        </w:tc>
      </w:tr>
      <w:tr w14:paraId="548A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C2C2C0">
            <w:pPr>
              <w:spacing w:after="0" w:line="240" w:lineRule="auto"/>
            </w:pPr>
            <w:r>
              <w:rPr>
                <w:rFonts w:ascii="宋体" w:hAnsi="宋体" w:eastAsia="宋体"/>
                <w:sz w:val="18"/>
              </w:rPr>
              <w:t>Run 5 减弱Aug</w:t>
            </w:r>
          </w:p>
        </w:tc>
        <w:tc>
          <w:tcPr>
            <w:tcW w:w="2160" w:type="dxa"/>
          </w:tcPr>
          <w:p w14:paraId="48B8039C">
            <w:pPr>
              <w:spacing w:after="0" w:line="240" w:lineRule="auto"/>
              <w:jc w:val="center"/>
            </w:pPr>
            <w:r>
              <w:rPr>
                <w:rFonts w:ascii="宋体" w:hAnsi="宋体" w:eastAsia="宋体"/>
                <w:sz w:val="18"/>
              </w:rPr>
              <w:t>26.59%</w:t>
            </w:r>
          </w:p>
        </w:tc>
        <w:tc>
          <w:tcPr>
            <w:tcW w:w="2160" w:type="dxa"/>
          </w:tcPr>
          <w:p w14:paraId="200330F7">
            <w:pPr>
              <w:spacing w:after="0" w:line="240" w:lineRule="auto"/>
              <w:jc w:val="center"/>
            </w:pPr>
            <w:r>
              <w:rPr>
                <w:rFonts w:ascii="宋体" w:hAnsi="宋体" w:eastAsia="宋体"/>
                <w:sz w:val="18"/>
              </w:rPr>
              <w:t>94.44%</w:t>
            </w:r>
          </w:p>
        </w:tc>
        <w:tc>
          <w:tcPr>
            <w:tcW w:w="2160" w:type="dxa"/>
          </w:tcPr>
          <w:p w14:paraId="4AED7407">
            <w:pPr>
              <w:spacing w:after="0" w:line="240" w:lineRule="auto"/>
              <w:jc w:val="center"/>
            </w:pPr>
            <w:r>
              <w:rPr>
                <w:rFonts w:ascii="宋体" w:hAnsi="宋体" w:eastAsia="宋体"/>
                <w:sz w:val="18"/>
              </w:rPr>
              <w:t>41.52%</w:t>
            </w:r>
          </w:p>
        </w:tc>
      </w:tr>
      <w:tr w14:paraId="0F6C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51F102">
            <w:pPr>
              <w:spacing w:after="0" w:line="240" w:lineRule="auto"/>
            </w:pPr>
            <w:r>
              <w:rPr>
                <w:rFonts w:ascii="宋体" w:hAnsi="宋体" w:eastAsia="宋体"/>
                <w:sz w:val="18"/>
              </w:rPr>
              <w:t>Run 6 alpha=3.0</w:t>
            </w:r>
          </w:p>
        </w:tc>
        <w:tc>
          <w:tcPr>
            <w:tcW w:w="2160" w:type="dxa"/>
          </w:tcPr>
          <w:p w14:paraId="2159CFBB">
            <w:pPr>
              <w:spacing w:after="0" w:line="240" w:lineRule="auto"/>
              <w:jc w:val="center"/>
            </w:pPr>
            <w:r>
              <w:rPr>
                <w:rFonts w:ascii="宋体" w:hAnsi="宋体" w:eastAsia="宋体"/>
                <w:sz w:val="18"/>
              </w:rPr>
              <w:t>72.22%</w:t>
            </w:r>
          </w:p>
        </w:tc>
        <w:tc>
          <w:tcPr>
            <w:tcW w:w="2160" w:type="dxa"/>
          </w:tcPr>
          <w:p w14:paraId="0EB10201">
            <w:pPr>
              <w:spacing w:after="0" w:line="240" w:lineRule="auto"/>
              <w:jc w:val="center"/>
            </w:pPr>
            <w:r>
              <w:rPr>
                <w:rFonts w:ascii="宋体" w:hAnsi="宋体" w:eastAsia="宋体"/>
                <w:sz w:val="18"/>
              </w:rPr>
              <w:t>72.22%</w:t>
            </w:r>
          </w:p>
        </w:tc>
        <w:tc>
          <w:tcPr>
            <w:tcW w:w="2160" w:type="dxa"/>
          </w:tcPr>
          <w:p w14:paraId="5DC673DD">
            <w:pPr>
              <w:spacing w:after="0" w:line="240" w:lineRule="auto"/>
              <w:jc w:val="center"/>
            </w:pPr>
            <w:r>
              <w:rPr>
                <w:rFonts w:ascii="宋体" w:hAnsi="宋体" w:eastAsia="宋体"/>
                <w:sz w:val="18"/>
              </w:rPr>
              <w:t>72.22%</w:t>
            </w:r>
          </w:p>
        </w:tc>
      </w:tr>
    </w:tbl>
    <w:p w14:paraId="00AF6012"/>
    <w:p w14:paraId="60EEA25A">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7.5 最终系统性能</w:t>
      </w:r>
    </w:p>
    <w:p w14:paraId="1280992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精确率（Precision）：7</w:t>
      </w:r>
      <w:r>
        <w:rPr>
          <w:rFonts w:hint="eastAsia" w:ascii="Times New Roman" w:hAnsi="Times New Roman" w:cs="Times New Roman"/>
          <w:sz w:val="24"/>
          <w:szCs w:val="24"/>
          <w:lang w:val="en-US" w:eastAsia="zh-CN"/>
        </w:rPr>
        <w:t>7.78</w:t>
      </w:r>
      <w:r>
        <w:rPr>
          <w:rFonts w:ascii="Times New Roman" w:hAnsi="Times New Roman" w:eastAsia="宋体" w:cs="Times New Roman"/>
          <w:sz w:val="24"/>
          <w:szCs w:val="24"/>
        </w:rPr>
        <w:t>%</w:t>
      </w:r>
    </w:p>
    <w:p w14:paraId="01ABAEC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召回率（Recall）：8</w:t>
      </w:r>
      <w:r>
        <w:rPr>
          <w:rFonts w:hint="eastAsia" w:ascii="Times New Roman" w:hAnsi="Times New Roman" w:cs="Times New Roman"/>
          <w:sz w:val="24"/>
          <w:szCs w:val="24"/>
          <w:lang w:val="en-US" w:eastAsia="zh-CN"/>
        </w:rPr>
        <w:t>8</w:t>
      </w:r>
      <w:r>
        <w:rPr>
          <w:rFonts w:ascii="Times New Roman" w:hAnsi="Times New Roman" w:eastAsia="宋体" w:cs="Times New Roman"/>
          <w:sz w:val="24"/>
          <w:szCs w:val="24"/>
        </w:rPr>
        <w:t>.</w:t>
      </w:r>
      <w:r>
        <w:rPr>
          <w:rFonts w:hint="eastAsia" w:ascii="Times New Roman" w:hAnsi="Times New Roman" w:cs="Times New Roman"/>
          <w:sz w:val="24"/>
          <w:szCs w:val="24"/>
          <w:lang w:val="en-US" w:eastAsia="zh-CN"/>
        </w:rPr>
        <w:t>89</w:t>
      </w:r>
      <w:r>
        <w:rPr>
          <w:rFonts w:ascii="Times New Roman" w:hAnsi="Times New Roman" w:eastAsia="宋体" w:cs="Times New Roman"/>
          <w:sz w:val="24"/>
          <w:szCs w:val="24"/>
        </w:rPr>
        <w:t>%</w:t>
      </w:r>
    </w:p>
    <w:p w14:paraId="4393BE08">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F1分数：</w:t>
      </w:r>
      <w:r>
        <w:rPr>
          <w:rFonts w:hint="eastAsia" w:ascii="Times New Roman" w:hAnsi="Times New Roman" w:cs="Times New Roman"/>
          <w:sz w:val="24"/>
          <w:szCs w:val="24"/>
          <w:lang w:val="en-US" w:eastAsia="zh-CN"/>
        </w:rPr>
        <w:t>82.35</w:t>
      </w:r>
      <w:r>
        <w:rPr>
          <w:rFonts w:ascii="Times New Roman" w:hAnsi="Times New Roman" w:eastAsia="宋体" w:cs="Times New Roman"/>
          <w:sz w:val="24"/>
          <w:szCs w:val="24"/>
        </w:rPr>
        <w:t>%</w:t>
      </w:r>
    </w:p>
    <w:p w14:paraId="61AEFA6E">
      <w:pPr>
        <w:spacing w:line="360" w:lineRule="auto"/>
        <w:ind w:firstLine="480"/>
        <w:jc w:val="both"/>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AUC-ROC：</w:t>
      </w:r>
      <w:r>
        <w:rPr>
          <w:rFonts w:hint="eastAsia" w:ascii="Times New Roman" w:hAnsi="Times New Roman" w:cs="Times New Roman"/>
          <w:sz w:val="24"/>
          <w:szCs w:val="24"/>
          <w:lang w:val="en-US" w:eastAsia="zh-CN"/>
        </w:rPr>
        <w:t>0.925</w:t>
      </w:r>
    </w:p>
    <w:p w14:paraId="7754FAC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准确率（Accuracy）：9</w:t>
      </w:r>
      <w:r>
        <w:rPr>
          <w:rFonts w:hint="eastAsia" w:ascii="Times New Roman" w:hAnsi="Times New Roman" w:cs="Times New Roman"/>
          <w:sz w:val="24"/>
          <w:szCs w:val="24"/>
          <w:lang w:val="en-US" w:eastAsia="zh-CN"/>
        </w:rPr>
        <w:t>1.67</w:t>
      </w:r>
      <w:r>
        <w:rPr>
          <w:rFonts w:ascii="Times New Roman" w:hAnsi="Times New Roman" w:eastAsia="宋体" w:cs="Times New Roman"/>
          <w:sz w:val="24"/>
          <w:szCs w:val="24"/>
        </w:rPr>
        <w:t>%</w:t>
      </w:r>
    </w:p>
    <w:p w14:paraId="506B13C2">
      <w:pPr>
        <w:spacing w:line="360" w:lineRule="auto"/>
        <w:ind w:firstLine="480"/>
        <w:jc w:val="both"/>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最终混淆矩阵：TN=85，FP=5，FN=</w:t>
      </w:r>
      <w:r>
        <w:rPr>
          <w:rFonts w:hint="eastAsia" w:ascii="Times New Roman" w:hAnsi="Times New Roman" w:cs="Times New Roman"/>
          <w:sz w:val="24"/>
          <w:szCs w:val="24"/>
          <w:lang w:val="en-US" w:eastAsia="zh-CN"/>
        </w:rPr>
        <w:t>4</w:t>
      </w:r>
      <w:r>
        <w:rPr>
          <w:rFonts w:ascii="Times New Roman" w:hAnsi="Times New Roman" w:eastAsia="宋体" w:cs="Times New Roman"/>
          <w:sz w:val="24"/>
          <w:szCs w:val="24"/>
        </w:rPr>
        <w:t>，TP=1</w:t>
      </w:r>
      <w:r>
        <w:rPr>
          <w:rFonts w:hint="eastAsia" w:ascii="Times New Roman" w:hAnsi="Times New Roman" w:cs="Times New Roman"/>
          <w:sz w:val="24"/>
          <w:szCs w:val="24"/>
          <w:lang w:val="en-US" w:eastAsia="zh-CN"/>
        </w:rPr>
        <w:t>4</w:t>
      </w:r>
    </w:p>
    <w:p w14:paraId="00C86870">
      <w:pPr>
        <w:spacing w:before="120" w:after="60" w:line="360" w:lineRule="auto"/>
        <w:jc w:val="center"/>
      </w:pPr>
      <w:r>
        <w:drawing>
          <wp:inline distT="0" distB="0" distL="114300" distR="114300">
            <wp:extent cx="5621020" cy="41084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21020" cy="4108450"/>
                    </a:xfrm>
                    <a:prstGeom prst="rect">
                      <a:avLst/>
                    </a:prstGeom>
                  </pic:spPr>
                </pic:pic>
              </a:graphicData>
            </a:graphic>
          </wp:inline>
        </w:drawing>
      </w:r>
    </w:p>
    <w:p w14:paraId="6958BB3E">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图7-2 混淆矩阵与性能指标</w:t>
      </w:r>
    </w:p>
    <w:p w14:paraId="66AA24BC">
      <w:pPr>
        <w:spacing w:before="120" w:after="60" w:line="360" w:lineRule="auto"/>
        <w:jc w:val="center"/>
      </w:pPr>
      <w:r>
        <w:drawing>
          <wp:inline distT="0" distB="0" distL="114300" distR="114300">
            <wp:extent cx="5264785" cy="3503295"/>
            <wp:effectExtent l="0" t="0" r="571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264785" cy="3503295"/>
                    </a:xfrm>
                    <a:prstGeom prst="rect">
                      <a:avLst/>
                    </a:prstGeom>
                  </pic:spPr>
                </pic:pic>
              </a:graphicData>
            </a:graphic>
          </wp:inline>
        </w:drawing>
      </w:r>
    </w:p>
    <w:p w14:paraId="19210074">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图7-3 ROC曲线</w:t>
      </w:r>
      <w:r>
        <w:rPr>
          <w:rFonts w:hint="eastAsia" w:ascii="Times New Roman" w:hAnsi="Times New Roman" w:cs="Times New Roman"/>
          <w:sz w:val="21"/>
          <w:szCs w:val="21"/>
          <w:lang w:val="en-US" w:eastAsia="zh-CN"/>
        </w:rPr>
        <w:t>与</w:t>
      </w:r>
      <w:r>
        <w:rPr>
          <w:rFonts w:ascii="Times New Roman" w:hAnsi="Times New Roman" w:eastAsia="宋体" w:cs="Times New Roman"/>
          <w:sz w:val="21"/>
          <w:szCs w:val="21"/>
        </w:rPr>
        <w:t>AUC</w:t>
      </w:r>
    </w:p>
    <w:p w14:paraId="110957CD">
      <w:pPr>
        <w:spacing w:before="60" w:after="60" w:line="360" w:lineRule="auto"/>
        <w:jc w:val="center"/>
        <w:rPr>
          <w:rFonts w:hint="eastAsia" w:ascii="Times New Roman" w:hAnsi="Times New Roman" w:eastAsia="宋体" w:cs="Times New Roman"/>
          <w:sz w:val="21"/>
          <w:szCs w:val="21"/>
          <w:lang w:eastAsia="zh-CN"/>
        </w:rPr>
      </w:pPr>
    </w:p>
    <w:p w14:paraId="4A9DD5BD">
      <w:pPr>
        <w:spacing w:before="60" w:after="60" w:line="360" w:lineRule="auto"/>
        <w:jc w:val="center"/>
        <w:rPr>
          <w:rFonts w:hint="eastAsia" w:eastAsia="宋体"/>
          <w:lang w:eastAsia="zh-CN"/>
        </w:rPr>
      </w:pPr>
      <w:r>
        <w:rPr>
          <w:rFonts w:hint="eastAsia" w:eastAsia="宋体"/>
          <w:lang w:eastAsia="zh-CN"/>
        </w:rPr>
        <w:drawing>
          <wp:inline distT="0" distB="0" distL="114300" distR="114300">
            <wp:extent cx="5711190" cy="2285365"/>
            <wp:effectExtent l="0" t="0" r="3810" b="635"/>
            <wp:docPr id="9" name="图片 9" descr="test_probability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est_probability_dist"/>
                    <pic:cNvPicPr>
                      <a:picLocks noChangeAspect="1"/>
                    </pic:cNvPicPr>
                  </pic:nvPicPr>
                  <pic:blipFill>
                    <a:blip r:embed="rId13"/>
                    <a:stretch>
                      <a:fillRect/>
                    </a:stretch>
                  </pic:blipFill>
                  <pic:spPr>
                    <a:xfrm>
                      <a:off x="0" y="0"/>
                      <a:ext cx="5711190" cy="2285365"/>
                    </a:xfrm>
                    <a:prstGeom prst="rect">
                      <a:avLst/>
                    </a:prstGeom>
                  </pic:spPr>
                </pic:pic>
              </a:graphicData>
            </a:graphic>
          </wp:inline>
        </w:drawing>
      </w:r>
    </w:p>
    <w:p w14:paraId="49449C5E">
      <w:pPr>
        <w:jc w:val="center"/>
        <w:rPr>
          <w:rFonts w:hint="eastAsia" w:ascii="宋体" w:hAnsi="宋体" w:eastAsia="宋体" w:cs="宋体"/>
          <w:b/>
          <w:bCs/>
          <w:i w:val="0"/>
          <w:iCs w:val="0"/>
          <w:caps w:val="0"/>
          <w:color w:val="3B3B3B"/>
          <w:spacing w:val="0"/>
          <w:sz w:val="21"/>
          <w:szCs w:val="21"/>
          <w:shd w:val="clear" w:fill="FFFFFF"/>
        </w:rPr>
      </w:pPr>
      <w:r>
        <w:rPr>
          <w:rFonts w:hint="eastAsia" w:ascii="宋体" w:hAnsi="宋体" w:eastAsia="宋体" w:cs="宋体"/>
          <w:b/>
          <w:bCs/>
          <w:i w:val="0"/>
          <w:iCs w:val="0"/>
          <w:caps w:val="0"/>
          <w:color w:val="3B3B3B"/>
          <w:spacing w:val="0"/>
          <w:sz w:val="21"/>
          <w:szCs w:val="21"/>
          <w:shd w:val="clear" w:fill="FFFFFF"/>
        </w:rPr>
        <w:t>图7-4 测试集预测概率分布</w:t>
      </w:r>
    </w:p>
    <w:p w14:paraId="7E4895F1">
      <w:pPr>
        <w:jc w:val="center"/>
        <w:rPr>
          <w:rFonts w:hint="eastAsia" w:ascii="宋体" w:hAnsi="宋体" w:eastAsia="宋体" w:cs="宋体"/>
          <w:b/>
          <w:bCs/>
          <w:i w:val="0"/>
          <w:iCs w:val="0"/>
          <w:caps w:val="0"/>
          <w:color w:val="3B3B3B"/>
          <w:spacing w:val="0"/>
          <w:sz w:val="21"/>
          <w:szCs w:val="21"/>
          <w:shd w:val="clear" w:fill="FFFFFF"/>
        </w:rPr>
      </w:pPr>
    </w:p>
    <w:p w14:paraId="288AD705">
      <w:pPr>
        <w:jc w:val="center"/>
        <w:rPr>
          <w:rFonts w:hint="eastAsia" w:ascii="宋体" w:hAnsi="宋体" w:eastAsia="宋体" w:cs="宋体"/>
          <w:b/>
          <w:bCs/>
          <w:i w:val="0"/>
          <w:iCs w:val="0"/>
          <w:caps w:val="0"/>
          <w:color w:val="3B3B3B"/>
          <w:spacing w:val="0"/>
          <w:sz w:val="21"/>
          <w:szCs w:val="21"/>
          <w:shd w:val="clear" w:fill="FFFFFF"/>
        </w:rPr>
      </w:pPr>
    </w:p>
    <w:p w14:paraId="067924F9">
      <w:pPr>
        <w:jc w:val="center"/>
        <w:rPr>
          <w:rFonts w:hint="eastAsia" w:ascii="宋体" w:hAnsi="宋体" w:eastAsia="宋体" w:cs="宋体"/>
          <w:b/>
          <w:bCs/>
          <w:i w:val="0"/>
          <w:iCs w:val="0"/>
          <w:caps w:val="0"/>
          <w:color w:val="3B3B3B"/>
          <w:spacing w:val="0"/>
          <w:sz w:val="21"/>
          <w:szCs w:val="21"/>
          <w:shd w:val="clear" w:fill="FFFFFF"/>
        </w:rPr>
      </w:pPr>
    </w:p>
    <w:p w14:paraId="44BF5DEC">
      <w:pPr>
        <w:jc w:val="center"/>
        <w:rPr>
          <w:rFonts w:hint="eastAsia" w:ascii="宋体" w:hAnsi="宋体" w:eastAsia="宋体" w:cs="宋体"/>
          <w:b/>
          <w:bCs/>
          <w:i w:val="0"/>
          <w:iCs w:val="0"/>
          <w:caps w:val="0"/>
          <w:color w:val="3B3B3B"/>
          <w:spacing w:val="0"/>
          <w:sz w:val="21"/>
          <w:szCs w:val="21"/>
          <w:shd w:val="clear" w:fill="FFFFFF"/>
          <w:lang w:eastAsia="zh-CN"/>
        </w:rPr>
      </w:pPr>
    </w:p>
    <w:p w14:paraId="62E37212">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八．</w:t>
      </w:r>
      <w:r>
        <w:rPr>
          <w:rFonts w:ascii="Times New Roman" w:hAnsi="Times New Roman" w:eastAsia="黑体" w:cs="Times New Roman"/>
          <w:b/>
          <w:bCs/>
          <w:sz w:val="32"/>
          <w:szCs w:val="32"/>
        </w:rPr>
        <w:t>消融实验分析</w:t>
      </w:r>
    </w:p>
    <w:p w14:paraId="5DE66237">
      <w:pPr>
        <w:spacing w:before="120" w:after="60" w:line="360" w:lineRule="auto"/>
        <w:jc w:val="center"/>
      </w:pPr>
      <w:r>
        <w:drawing>
          <wp:inline distT="0" distB="0" distL="114300" distR="114300">
            <wp:extent cx="5917565" cy="2758440"/>
            <wp:effectExtent l="0" t="0" r="63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917565" cy="2758440"/>
                    </a:xfrm>
                    <a:prstGeom prst="rect">
                      <a:avLst/>
                    </a:prstGeom>
                  </pic:spPr>
                </pic:pic>
              </a:graphicData>
            </a:graphic>
          </wp:inline>
        </w:drawing>
      </w:r>
    </w:p>
    <w:p w14:paraId="7177D9D7">
      <w:pPr>
        <w:spacing w:before="60" w:after="60" w:line="360" w:lineRule="auto"/>
        <w:jc w:val="center"/>
        <w:rPr>
          <w:rFonts w:ascii="Times New Roman" w:hAnsi="Times New Roman" w:eastAsia="宋体" w:cs="Times New Roman"/>
          <w:sz w:val="21"/>
          <w:szCs w:val="21"/>
        </w:rPr>
      </w:pPr>
      <w:r>
        <w:rPr>
          <w:rFonts w:ascii="Times New Roman" w:hAnsi="Times New Roman" w:eastAsia="宋体" w:cs="Times New Roman"/>
          <w:sz w:val="21"/>
          <w:szCs w:val="21"/>
        </w:rPr>
        <w:t>图8-1 消融实验性能对比</w:t>
      </w:r>
    </w:p>
    <w:p w14:paraId="0711675E">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8.1 SMOTE过采样比例的影响</w:t>
      </w:r>
    </w:p>
    <w:p w14:paraId="6F8CD2C2">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SMOTE 1:1是最优配比——既有效缓解类别不平衡，又不会因过多样本合成导致模型过度拟合少数类。SMOTE 1:2比例下，合成样本过多，模型过拟合加剧（召回率反而下降）。</w:t>
      </w:r>
    </w:p>
    <w:p w14:paraId="1FF4DF2C">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8.2 数据增强开关的影响</w:t>
      </w:r>
    </w:p>
    <w:p w14:paraId="2F2C0CD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启用数据增强（Run1）：精确率71.43%，召回率88.89%。增强后的样本使模型学到更鲁棒的特征，但决策边界更保守。</w:t>
      </w:r>
    </w:p>
    <w:p w14:paraId="2709835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关闭数据增强（Run4）：精确率42.50%，召回率94.44%。原始样本上召回能力更强，但FP（误报）多。</w:t>
      </w:r>
    </w:p>
    <w:p w14:paraId="298D91D2">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这一发现是设计集成策略的直接动机。</w:t>
      </w:r>
    </w:p>
    <w:p w14:paraId="3317CECA">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8.3 正则化强度的影响</w:t>
      </w:r>
    </w:p>
    <w:p w14:paraId="2A96E98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过强的正则化（Dropout=0.5, Weight Decay=5e-4）反而抑制了模型的学习能力。适度正则化（Dropout=0.3, 无Weight Decay）是</w:t>
      </w:r>
      <w:r>
        <w:rPr>
          <w:rFonts w:hint="eastAsia" w:ascii="Times New Roman" w:hAnsi="Times New Roman" w:cs="Times New Roman"/>
          <w:sz w:val="24"/>
          <w:szCs w:val="24"/>
          <w:lang w:val="en-US" w:eastAsia="zh-CN"/>
        </w:rPr>
        <w:t>测试中的</w:t>
      </w:r>
      <w:r>
        <w:rPr>
          <w:rFonts w:ascii="Times New Roman" w:hAnsi="Times New Roman" w:eastAsia="宋体" w:cs="Times New Roman"/>
          <w:sz w:val="24"/>
          <w:szCs w:val="24"/>
        </w:rPr>
        <w:t>最优选择。</w:t>
      </w:r>
    </w:p>
    <w:p w14:paraId="6D2ECFB3">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8.4 Focal Loss参数的影响</w:t>
      </w:r>
    </w:p>
    <w:p w14:paraId="27F6B791">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α=2.0是在本数据集上精确率与召回率权衡的最优点，α=3.0导致过度偏向少数类，整体F1下降。</w:t>
      </w:r>
    </w:p>
    <w:p w14:paraId="568E014D">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8.5 阈值敏感性分析</w:t>
      </w:r>
    </w:p>
    <w:p w14:paraId="24BFBE7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单模型的召回率天花板约为88.89%（阈值=0.05时），无法突破90%——这</w:t>
      </w:r>
      <w:r>
        <w:rPr>
          <w:rFonts w:hint="eastAsia" w:ascii="Times New Roman" w:hAnsi="Times New Roman" w:cs="Times New Roman"/>
          <w:sz w:val="24"/>
          <w:szCs w:val="24"/>
          <w:lang w:val="en-US" w:eastAsia="zh-CN"/>
        </w:rPr>
        <w:t>可能</w:t>
      </w:r>
      <w:r>
        <w:rPr>
          <w:rFonts w:ascii="Times New Roman" w:hAnsi="Times New Roman" w:eastAsia="宋体" w:cs="Times New Roman"/>
          <w:sz w:val="24"/>
          <w:szCs w:val="24"/>
        </w:rPr>
        <w:t>是单模型调优的根本局限，验证了集成学习的必要性。</w:t>
      </w:r>
    </w:p>
    <w:p w14:paraId="0C50A100">
      <w:r>
        <w:br w:type="page"/>
      </w:r>
    </w:p>
    <w:p w14:paraId="6AD47815">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九.</w:t>
      </w:r>
      <w:r>
        <w:rPr>
          <w:rFonts w:ascii="Times New Roman" w:hAnsi="Times New Roman" w:eastAsia="黑体" w:cs="Times New Roman"/>
          <w:b/>
          <w:bCs/>
          <w:sz w:val="32"/>
          <w:szCs w:val="32"/>
        </w:rPr>
        <w:t>局限性与未来方向</w:t>
      </w:r>
    </w:p>
    <w:p w14:paraId="07AE93E0">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9.1 方案局限性</w:t>
      </w:r>
    </w:p>
    <w:p w14:paraId="339BC15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局限一：摄像头视角依赖。YOLOv8 Pose在训练时主要使用正面和侧面视角。俯视角度会导致关键点投影失真，性能显著下降。</w:t>
      </w:r>
    </w:p>
    <w:p w14:paraId="407B30E2">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局限二：遮挡场景下的鲁棒性。被部分遮挡时，不可疑关键点的坐标误差会影响特征可靠性。</w:t>
      </w:r>
    </w:p>
    <w:p w14:paraId="6F776F20">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局限三：数据集规模与场景泛化。URFD仅140个视频，场景单一，在其他场景（户外、医院、养老院）的泛化能力有待验证。</w:t>
      </w:r>
    </w:p>
    <w:p w14:paraId="2833A6B2">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局限四：二分类的局限性。无法区分"缓慢躺下""蹲下""坐下"等中间状态，可能产生不必要的频繁报警。</w:t>
      </w:r>
    </w:p>
    <w:p w14:paraId="27CDFDBC">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9.2 召回率提升的可行路径</w:t>
      </w:r>
    </w:p>
    <w:p w14:paraId="2FDAE39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（1）数据层面：扩充摔倒数据集，引入更多样的摔倒场景</w:t>
      </w:r>
    </w:p>
    <w:p w14:paraId="0F4736D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（2）模型层面：引入ST-GCN建模骨骼拓扑，探索更大规模的姿态估计模型</w:t>
      </w:r>
    </w:p>
    <w:p w14:paraId="526B2BC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（3）损失函数层面：尝试非对称损失（Asymmetric Loss）或代价敏感学习</w:t>
      </w:r>
    </w:p>
    <w:p w14:paraId="0DEDCA8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（4）集成层面：增加集成模型数量，采用stacking等更复杂的集成策略</w:t>
      </w:r>
    </w:p>
    <w:p w14:paraId="3810109E">
      <w:pPr>
        <w:spacing w:before="360" w:after="240" w:line="360" w:lineRule="auto"/>
        <w:jc w:val="left"/>
        <w:rPr>
          <w:rFonts w:ascii="Times New Roman" w:hAnsi="Times New Roman" w:eastAsia="黑体" w:cs="Times New Roman"/>
          <w:b/>
          <w:bCs/>
          <w:sz w:val="28"/>
          <w:szCs w:val="28"/>
        </w:rPr>
      </w:pPr>
      <w:r>
        <w:rPr>
          <w:rFonts w:ascii="Times New Roman" w:hAnsi="Times New Roman" w:eastAsia="黑体" w:cs="Times New Roman"/>
          <w:b/>
          <w:bCs/>
          <w:sz w:val="28"/>
          <w:szCs w:val="28"/>
        </w:rPr>
        <w:t>9.3 未来优化方向</w:t>
      </w:r>
    </w:p>
    <w:p w14:paraId="64E6131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方向一：多模态融合。引入深度图或红外视频，增强暗光和遮挡场景下的检测能力。</w:t>
      </w:r>
    </w:p>
    <w:p w14:paraId="6554F03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方向二：图卷积网络建模骨骼拓扑。时空图卷积网络（ST-GCN）能够直接建模骨骼的空间拓扑关系。</w:t>
      </w:r>
    </w:p>
    <w:p w14:paraId="7AE36C6A">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方向三：端云协同部署。边缘设备负责姿态估计和特征提取，云端服务器负责深度学习推理。</w:t>
      </w:r>
    </w:p>
    <w:p w14:paraId="0E6563D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方向四：多分类扩展。将二分类扩展为多分类（正常行走、站立、下蹲、慢躺、摔倒、坐下、爬行等），配置差异化报警策略。</w:t>
      </w:r>
    </w:p>
    <w:p w14:paraId="51E3C6C4">
      <w:r>
        <w:br w:type="page"/>
      </w:r>
    </w:p>
    <w:p w14:paraId="1676EC45">
      <w:pPr>
        <w:spacing w:before="480" w:after="360" w:line="360" w:lineRule="auto"/>
        <w:jc w:val="both"/>
        <w:rPr>
          <w:rFonts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十．</w:t>
      </w:r>
      <w:r>
        <w:rPr>
          <w:rFonts w:ascii="Times New Roman" w:hAnsi="Times New Roman" w:eastAsia="黑体" w:cs="Times New Roman"/>
          <w:b/>
          <w:bCs/>
          <w:sz w:val="32"/>
          <w:szCs w:val="32"/>
        </w:rPr>
        <w:t>结论</w:t>
      </w:r>
    </w:p>
    <w:p w14:paraId="6CADBCC5">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本文针对老年人摔倒检测的实际需求，综合多套特征判别方案，设计并实现了一套基于多特征融合与BiLSTM-BiGRU-Attention的人体摔倒智能检测系统，并在UR Fall Detection Dataset上完成了完整的训练、验证与测试。</w:t>
      </w:r>
    </w:p>
    <w:p w14:paraId="2A9CA13D">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核心贡献：</w:t>
      </w:r>
    </w:p>
    <w:p w14:paraId="7B8922E3">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（1）提出了融合五套方案优势的10维特征向量</w:t>
      </w:r>
    </w:p>
    <w:p w14:paraId="08C70A8B">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（2）设计了BiLSTM + BiGRU + 双向多头自注意力的混合时序模型架构（约150万参数）</w:t>
      </w:r>
    </w:p>
    <w:p w14:paraId="10994C1E">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（3）采用Focal Loss（α=2.0, γ=2.0）配合SMOTE过采样（1:1配平）有效解决类别不平衡问题</w:t>
      </w:r>
    </w:p>
    <w:p w14:paraId="32F4D9ED">
      <w:pPr>
        <w:spacing w:line="360" w:lineRule="auto"/>
        <w:ind w:firstLine="480"/>
        <w:jc w:val="both"/>
        <w:rPr>
          <w:rFonts w:hint="default" w:ascii="Times New Roman" w:hAnsi="Times New Roman" w:eastAsia="宋体" w:cs="Times New Roman"/>
          <w:sz w:val="24"/>
          <w:szCs w:val="24"/>
          <w:lang w:val="en-US" w:eastAsia="zh-CN"/>
        </w:rPr>
      </w:pPr>
      <w:r>
        <w:rPr>
          <w:rFonts w:ascii="Times New Roman" w:hAnsi="Times New Roman" w:eastAsia="宋体" w:cs="Times New Roman"/>
          <w:sz w:val="24"/>
          <w:szCs w:val="24"/>
        </w:rPr>
        <w:t>（4）通过集成学习融合高精确率模型与高召回率模型，最终系统达到精确率 7</w:t>
      </w:r>
      <w:r>
        <w:rPr>
          <w:rFonts w:hint="eastAsia" w:ascii="Times New Roman" w:hAnsi="Times New Roman" w:cs="Times New Roman"/>
          <w:sz w:val="24"/>
          <w:szCs w:val="24"/>
          <w:lang w:val="en-US" w:eastAsia="zh-CN"/>
        </w:rPr>
        <w:t>7.78</w:t>
      </w:r>
      <w:r>
        <w:rPr>
          <w:rFonts w:ascii="Times New Roman" w:hAnsi="Times New Roman" w:eastAsia="宋体" w:cs="Times New Roman"/>
          <w:sz w:val="24"/>
          <w:szCs w:val="24"/>
        </w:rPr>
        <w:t xml:space="preserve">% ≥ 70% ；F1分数 </w:t>
      </w:r>
      <w:r>
        <w:rPr>
          <w:rFonts w:hint="eastAsia" w:ascii="Times New Roman" w:hAnsi="Times New Roman" w:cs="Times New Roman"/>
          <w:sz w:val="24"/>
          <w:szCs w:val="24"/>
          <w:lang w:val="en-US" w:eastAsia="zh-CN"/>
        </w:rPr>
        <w:t>82.35</w:t>
      </w:r>
      <w:r>
        <w:rPr>
          <w:rFonts w:ascii="Times New Roman" w:hAnsi="Times New Roman" w:eastAsia="宋体" w:cs="Times New Roman"/>
          <w:sz w:val="24"/>
          <w:szCs w:val="24"/>
        </w:rPr>
        <w:t xml:space="preserve">% ≥ 78% ；召回率 </w:t>
      </w:r>
      <w:r>
        <w:rPr>
          <w:rFonts w:hint="eastAsia" w:ascii="Times New Roman" w:hAnsi="Times New Roman" w:cs="Times New Roman"/>
          <w:sz w:val="24"/>
          <w:szCs w:val="24"/>
          <w:lang w:val="en-US" w:eastAsia="zh-CN"/>
        </w:rPr>
        <w:t>88.98</w:t>
      </w:r>
      <w:r>
        <w:rPr>
          <w:rFonts w:ascii="Times New Roman" w:hAnsi="Times New Roman" w:eastAsia="宋体" w:cs="Times New Roman"/>
          <w:sz w:val="24"/>
          <w:szCs w:val="24"/>
        </w:rPr>
        <w:t>%（接近目标90%）</w:t>
      </w:r>
      <w:r>
        <w:rPr>
          <w:rFonts w:hint="eastAsia" w:ascii="Times New Roman" w:hAnsi="Times New Roman" w:cs="Times New Roman"/>
          <w:sz w:val="24"/>
          <w:szCs w:val="24"/>
          <w:lang w:eastAsia="zh-CN"/>
        </w:rPr>
        <w:t>；</w:t>
      </w:r>
      <w:r>
        <w:rPr>
          <w:rFonts w:ascii="Times New Roman" w:hAnsi="Times New Roman" w:eastAsia="宋体" w:cs="Times New Roman"/>
          <w:sz w:val="24"/>
          <w:szCs w:val="24"/>
        </w:rPr>
        <w:t>AUC-ROC</w:t>
      </w:r>
      <w:r>
        <w:rPr>
          <w:rFonts w:hint="eastAsia" w:ascii="Times New Roman" w:hAnsi="Times New Roman" w:cs="Times New Roman"/>
          <w:sz w:val="24"/>
          <w:szCs w:val="24"/>
          <w:lang w:val="en-US" w:eastAsia="zh-CN"/>
        </w:rPr>
        <w:t xml:space="preserve"> 0.925</w:t>
      </w:r>
    </w:p>
    <w:p w14:paraId="7C5870CC">
      <w:pPr>
        <w:spacing w:line="360" w:lineRule="auto"/>
        <w:ind w:firstLine="480"/>
        <w:jc w:val="both"/>
        <w:rPr>
          <w:rFonts w:ascii="Times New Roman" w:hAnsi="Times New Roman" w:eastAsia="宋体" w:cs="Times New Roman"/>
          <w:sz w:val="24"/>
          <w:szCs w:val="24"/>
        </w:rPr>
      </w:pPr>
      <w:r>
        <w:rPr>
          <w:rFonts w:ascii="Times New Roman" w:hAnsi="Times New Roman" w:eastAsia="宋体" w:cs="Times New Roman"/>
          <w:sz w:val="24"/>
          <w:szCs w:val="24"/>
        </w:rPr>
        <w:t>（5）通过6次系统性训练实验和消融分析，明确了各技术组件的最优配置</w:t>
      </w:r>
    </w:p>
    <w:p w14:paraId="45921D20">
      <w:pPr>
        <w:spacing w:before="480" w:after="360" w:line="360" w:lineRule="auto"/>
        <w:jc w:val="center"/>
        <w:rPr>
          <w:rFonts w:ascii="Times New Roman" w:hAnsi="Times New Roman" w:eastAsia="黑体" w:cs="Times New Roman"/>
          <w:b/>
          <w:bCs/>
          <w:sz w:val="32"/>
          <w:szCs w:val="32"/>
        </w:rPr>
      </w:pPr>
    </w:p>
    <w:p w14:paraId="0EF46FA4">
      <w:pPr>
        <w:spacing w:before="480" w:after="360" w:line="360" w:lineRule="auto"/>
        <w:jc w:val="center"/>
        <w:rPr>
          <w:rFonts w:ascii="Times New Roman" w:hAnsi="Times New Roman" w:eastAsia="黑体" w:cs="Times New Roman"/>
          <w:b/>
          <w:bCs/>
          <w:sz w:val="32"/>
          <w:szCs w:val="32"/>
        </w:rPr>
      </w:pPr>
    </w:p>
    <w:p w14:paraId="6E82E123">
      <w:pPr>
        <w:spacing w:before="480" w:after="360" w:line="360" w:lineRule="auto"/>
        <w:jc w:val="center"/>
        <w:rPr>
          <w:rFonts w:ascii="Times New Roman" w:hAnsi="Times New Roman" w:eastAsia="黑体" w:cs="Times New Roman"/>
          <w:b/>
          <w:bCs/>
          <w:sz w:val="32"/>
          <w:szCs w:val="32"/>
        </w:rPr>
      </w:pPr>
    </w:p>
    <w:p w14:paraId="2CE81E81">
      <w:pPr>
        <w:spacing w:before="480" w:after="360" w:line="360" w:lineRule="auto"/>
        <w:jc w:val="center"/>
        <w:rPr>
          <w:rFonts w:ascii="Times New Roman" w:hAnsi="Times New Roman" w:eastAsia="黑体" w:cs="Times New Roman"/>
          <w:b/>
          <w:bCs/>
          <w:sz w:val="32"/>
          <w:szCs w:val="32"/>
        </w:rPr>
      </w:pPr>
    </w:p>
    <w:p w14:paraId="42FC4FEF">
      <w:pPr>
        <w:spacing w:before="480" w:after="360" w:line="360" w:lineRule="auto"/>
        <w:jc w:val="center"/>
        <w:rPr>
          <w:rFonts w:ascii="Times New Roman" w:hAnsi="Times New Roman" w:eastAsia="黑体" w:cs="Times New Roman"/>
          <w:b/>
          <w:bCs/>
          <w:sz w:val="32"/>
          <w:szCs w:val="32"/>
        </w:rPr>
      </w:pPr>
    </w:p>
    <w:p w14:paraId="7CCF1C58">
      <w:pPr>
        <w:spacing w:before="480" w:after="360" w:line="360" w:lineRule="auto"/>
        <w:jc w:val="center"/>
        <w:rPr>
          <w:rFonts w:ascii="Times New Roman" w:hAnsi="Times New Roman" w:eastAsia="黑体" w:cs="Times New Roman"/>
          <w:b/>
          <w:bCs/>
          <w:sz w:val="32"/>
          <w:szCs w:val="32"/>
        </w:rPr>
      </w:pPr>
      <w:r>
        <w:rPr>
          <w:rFonts w:ascii="Times New Roman" w:hAnsi="Times New Roman" w:eastAsia="黑体" w:cs="Times New Roman"/>
          <w:b/>
          <w:bCs/>
          <w:sz w:val="32"/>
          <w:szCs w:val="32"/>
        </w:rPr>
        <w:t>参考文献</w:t>
      </w:r>
    </w:p>
    <w:p w14:paraId="78302D36">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 Lin T Y, Goyal P, Girshick R, et al. Focal Loss for Dense Object Detection[J]. IEEE TPAMI, 2020, 42(2): 318-327.</w:t>
      </w:r>
    </w:p>
    <w:p w14:paraId="654E6C5E">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[2] Chawla N V, Bowyer K W, Hall L O, et al. SMOTE: Synthetic Minority Over-sampling Technique[J]. JAIR, 2002, 16: 321-357.</w:t>
      </w:r>
    </w:p>
    <w:p w14:paraId="7A41025F">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[3] Hochreiter S, Schmidhuber J. Long Short-Term Memory[J]. Neural Computation, 1997, 9(8): 1735-1780.</w:t>
      </w:r>
    </w:p>
    <w:p w14:paraId="65171BA8">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[4] Cho K, Van Merriënboer B, et al. On the Properties of Neural Machine Translation[C]//ACL Workshop, 2014: 103-111.</w:t>
      </w:r>
    </w:p>
    <w:p w14:paraId="30B3BAC0">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[5] Vaswani A, Shazeer N, Parmar N, et al. Attention Is All You Need[C]//NIPS, 2017: 5998-6008.</w:t>
      </w:r>
    </w:p>
    <w:p w14:paraId="109ABD57">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[6] Cao Z, Simon T, Wei S E, et al. OpenPose: Realtime Multi-Person 2D Pose Estimation[J]. IEEE TPAMI, 2019, 43(1): 172-186.</w:t>
      </w:r>
    </w:p>
    <w:p w14:paraId="1DAF6B69">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[7] Jocher G, et al. Ultralytics YOLOv8[EB/OL]. https://github.com/ultralytics/ultralytics, 2023.</w:t>
      </w:r>
    </w:p>
    <w:p w14:paraId="69DF08E7">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[8] Sun K, Xiao B, Liu D, et al. Deep High-Resolution Representation Learning for Human Pose Estimation[C]//IEEE CVPR, 2019: 5693-5703.</w:t>
      </w:r>
    </w:p>
    <w:p w14:paraId="17C1B67B">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[9] Rougier C, Meunier J, et al. Robust Video Surveillance for Fall Detection[J]. IEEE Trans. CSVT, 2011, 21(5): 611-622.</w:t>
      </w:r>
    </w:p>
    <w:p w14:paraId="1CC139A5">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[10] Liu S, Shi C. A Real-Time Fall Detection System Based on MoveNet and LSTM[C]//IntelliSys, Springer, 2024: 12-23.</w:t>
      </w:r>
    </w:p>
    <w:p w14:paraId="0F52D7A9">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[11] Alazrai R, et al. FALLNET: A Deep Learning Model for Fall Detection Using CNN-Attention-LSTM[J]. IEEE Access, 2023.</w:t>
      </w:r>
    </w:p>
    <w:p w14:paraId="1B4531BD">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[12] Wang H, Wang L. End-to-End Fall Detection Using 3D CNNs[C]//IEEE ICME Workshops, 2018: 1-6.</w:t>
      </w:r>
    </w:p>
    <w:p w14:paraId="21770D9F">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[13] Ignatov A, et al. MoveNet: Ultra Fast and Accurate Person Keypoint Detection[C]//Google Research Blog, 2021.</w:t>
      </w:r>
    </w:p>
    <w:p w14:paraId="622770D6">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[14] Yuvaraj R, et al. A Survey on Various Fall Detection Approaches with Deep Learning[M]. Springer, 2023: 341-357.</w:t>
      </w:r>
    </w:p>
    <w:p w14:paraId="3EEDCCE1">
      <w:pPr>
        <w:spacing w:line="360" w:lineRule="auto"/>
        <w:ind w:left="420" w:hanging="420"/>
        <w:jc w:val="left"/>
        <w:rPr>
          <w:rFonts w:ascii="Times New Roman" w:hAnsi="Times New Roman" w:eastAsia="宋体" w:cs="Times New Roman"/>
          <w:sz w:val="21"/>
          <w:szCs w:val="21"/>
        </w:rPr>
      </w:pPr>
      <w:r>
        <w:rPr>
          <w:rFonts w:ascii="Times New Roman" w:hAnsi="Times New Roman" w:eastAsia="宋体" w:cs="Times New Roman"/>
          <w:sz w:val="21"/>
          <w:szCs w:val="21"/>
        </w:rPr>
        <w:t>[15] World Health Organization. Falls: Key Facts[EB/OL]. https://www.who.int/news-room/fact-sheets/detail/falls, 2021.</w:t>
      </w:r>
    </w:p>
    <w:p w14:paraId="4CCA776E">
      <w:pPr>
        <w:rPr>
          <w:rFonts w:ascii="Times New Roman" w:hAnsi="Times New Roman" w:eastAsia="宋体" w:cs="Times New Roman"/>
          <w:sz w:val="24"/>
          <w:szCs w:val="24"/>
        </w:rPr>
      </w:pPr>
    </w:p>
    <w:sectPr>
      <w:pgSz w:w="11906" w:h="16838"/>
      <w:pgMar w:top="1418" w:right="1134" w:bottom="1418" w:left="1701" w:header="851" w:footer="992" w:gutter="284"/>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9C7FBC"/>
    <w:rsid w:val="44E30B94"/>
    <w:rsid w:val="58D05A7C"/>
    <w:rsid w:val="6BA20FC3"/>
    <w:rsid w:val="76AE5F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0"/>
    <w:pPr>
      <w:spacing w:before="480" w:after="360" w:line="360" w:lineRule="auto"/>
      <w:jc w:val="center"/>
      <w:outlineLvl w:val="0"/>
    </w:pPr>
    <w:rPr>
      <w:rFonts w:ascii="Times New Roman" w:hAnsi="Times New Roman" w:eastAsia="黑体" w:cs="Times New Roman"/>
      <w:b/>
      <w:bCs/>
      <w:sz w:val="32"/>
      <w:szCs w:val="32"/>
    </w:rPr>
  </w:style>
  <w:style w:type="paragraph" w:styleId="4">
    <w:name w:val="heading 2"/>
    <w:basedOn w:val="1"/>
    <w:next w:val="1"/>
    <w:link w:val="139"/>
    <w:qFormat/>
    <w:uiPriority w:val="0"/>
    <w:pPr>
      <w:spacing w:before="360" w:after="240" w:line="360" w:lineRule="auto"/>
      <w:jc w:val="left"/>
      <w:outlineLvl w:val="1"/>
    </w:pPr>
    <w:rPr>
      <w:rFonts w:ascii="Times New Roman" w:hAnsi="Times New Roman" w:eastAsia="黑体" w:cs="Times New Roman"/>
      <w:b/>
      <w:bCs/>
      <w:sz w:val="28"/>
      <w:szCs w:val="28"/>
    </w:rPr>
  </w:style>
  <w:style w:type="paragraph" w:styleId="5">
    <w:name w:val="heading 3"/>
    <w:basedOn w:val="1"/>
    <w:next w:val="1"/>
    <w:link w:val="140"/>
    <w:qFormat/>
    <w:uiPriority w:val="0"/>
    <w:pPr>
      <w:spacing w:before="240" w:after="120" w:line="360" w:lineRule="auto"/>
      <w:jc w:val="left"/>
      <w:outlineLvl w:val="2"/>
    </w:pPr>
    <w:rPr>
      <w:rFonts w:ascii="Times New Roman" w:hAnsi="Times New Roman" w:eastAsia="黑体" w:cs="Times New Roman"/>
      <w:b/>
      <w:bCs/>
      <w:sz w:val="24"/>
      <w:szCs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6655</Words>
  <Characters>10472</Characters>
  <Lines>0</Lines>
  <Paragraphs>0</Paragraphs>
  <TotalTime>13</TotalTime>
  <ScaleCrop>false</ScaleCrop>
  <LinksUpToDate>false</LinksUpToDate>
  <CharactersWithSpaces>11017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WPS_1643459250</cp:lastModifiedBy>
  <dcterms:modified xsi:type="dcterms:W3CDTF">2026-05-08T12:31:10Z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eyJoZGlkIjoiN2E2MTYxOGQwMGU2NTk5MWE2YTE4YWI5Y2E3NjQ1ZmEiLCJ1c2VySWQiOiIxMzIyMDE4MDczIn0=</vt:lpwstr>
  </property>
  <property fmtid="{D5CDD505-2E9C-101B-9397-08002B2CF9AE}" pid="3" name="KSOProductBuildVer">
    <vt:lpwstr>2052-12.1.0.25865</vt:lpwstr>
  </property>
  <property fmtid="{D5CDD505-2E9C-101B-9397-08002B2CF9AE}" pid="4" name="ICV">
    <vt:lpwstr>B484070EDD6B4D4BAD7E16ECBA8185E1_13</vt:lpwstr>
  </property>
</Properties>
</file>