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Rounded MT Bold" w:cs="Arial Rounded MT Bold" w:eastAsia="Arial Rounded MT Bold" w:hAnsi="Arial Rounded MT Bold"/>
          <w:b/>
          <w:bCs/>
          <w:color w:val="1C3257"/>
          <w:sz w:val="40"/>
          <w:szCs w:val="40"/>
        </w:rPr>
        <w:t xml:space="preserve">ESTUDIOSIMPLE</w:t>
      </w:r>
    </w:p>
    <w:p>
      <w:pPr>
        <w:spacing w:after="150" w:before="50"/>
        <w:jc w:val="center"/>
      </w:pPr>
      <w:r>
        <w:rPr>
          <w:rFonts w:ascii="Arial" w:cs="Arial" w:eastAsia="Arial" w:hAnsi="Arial"/>
          <w:i/>
          <w:iCs/>
          <w:color w:val="12A1A4"/>
          <w:sz w:val="22"/>
          <w:szCs w:val="22"/>
        </w:rPr>
        <w:t xml:space="preserve">Aprender en familia, paso a paso.</w:t>
      </w:r>
    </w:p>
    <w:p>
      <w:pPr>
        <w:spacing w:after="300" w:before="100"/>
        <w:jc w:val="center"/>
      </w:pPr>
      <w:r>
        <w:rPr>
          <w:rFonts w:ascii="Arial Rounded MT Bold" w:cs="Arial Rounded MT Bold" w:eastAsia="Arial Rounded MT Bold" w:hAnsi="Arial Rounded MT Bold"/>
          <w:b/>
          <w:bCs/>
          <w:color w:val="1C3257"/>
          <w:sz w:val="28"/>
          <w:szCs w:val="28"/>
        </w:rPr>
        <w:t xml:space="preserve">Informe de contraste entre el Manual Maestro y el avance académico, del prototipo y de la validación</w:t>
      </w:r>
    </w:p>
    <w:p>
      <w:pPr>
        <w:pStyle w:val="Heading1"/>
        <w:spacing w:after="150" w:before="300"/>
      </w:pPr>
      <w:r>
        <w:rPr>
          <w:rFonts w:ascii="Arial Rounded MT Bold" w:cs="Arial Rounded MT Bold" w:eastAsia="Arial Rounded MT Bold" w:hAnsi="Arial Rounded MT Bold"/>
          <w:b/>
          <w:bCs/>
          <w:color w:val="1C3257"/>
          <w:sz w:val="26"/>
          <w:szCs w:val="26"/>
        </w:rPr>
        <w:t xml:space="preserve">1. Identificación del Análisis</w:t>
      </w:r>
    </w:p>
    <w:p>
      <w:pPr>
        <w:spacing w:after="100"/>
      </w:pPr>
      <w:r>
        <w:rPr>
          <w:b/>
          <w:bCs/>
        </w:rPr>
        <w:t xml:space="preserve">• Fecha del análisis: </w:t>
      </w:r>
      <w:r>
        <w:t xml:space="preserve">1 de octubre de 2026.</w:t>
      </w:r>
    </w:p>
    <w:p>
      <w:pPr>
        <w:spacing w:after="100"/>
      </w:pPr>
      <w:r>
        <w:rPr>
          <w:b/>
          <w:bCs/>
        </w:rPr>
        <w:t xml:space="preserve">• Herramienta utilizada: </w:t>
      </w:r>
      <w:r>
        <w:t xml:space="preserve">Antigravity (Ingeniero de Software con IA, A-SDLC).</w:t>
      </w:r>
    </w:p>
    <w:p>
      <w:pPr>
        <w:spacing w:after="100"/>
      </w:pPr>
      <w:r>
        <w:rPr>
          <w:b/>
          <w:bCs/>
        </w:rPr>
        <w:t xml:space="preserve">• Documento rector evaluado: </w:t>
      </w:r>
      <w:r>
        <w:t xml:space="preserve">Manual Maestro de EstudioSimple (Versión 2.0 · 1 de octubre de 2026, 29 apartados, 71.486 caracteres, ubicado en D:\StudioSimple - Antigravity\MANUAL MAESTRO\Manual Maestro.docx).</w:t>
      </w:r>
    </w:p>
    <w:p>
      <w:pPr>
        <w:spacing w:after="100"/>
      </w:pPr>
      <w:r>
        <w:rPr>
          <w:b/>
          <w:bCs/>
        </w:rPr>
        <w:t xml:space="preserve">• Documento de instrucciones aplicado: </w:t>
      </w:r>
      <w:r>
        <w:t xml:space="preserve">Instrucciones para analizar el Manual Maestro y contrastarlo con el avance del proyecto (1 de octubre de 2026, ubicado en D:\StudioSimple - Antigravity\MANUAL MAESTRO\Instrucciones_analisis_Manual_Maestro_y_avance_EstudioSimple.docx).</w:t>
      </w:r>
    </w:p>
    <w:p>
      <w:pPr>
        <w:spacing w:after="100"/>
      </w:pPr>
      <w:r>
        <w:rPr>
          <w:b/>
          <w:bCs/>
        </w:rPr>
        <w:t xml:space="preserve">• Evidencia de avance revisada: </w:t>
      </w:r>
      <w:r>
        <w:t xml:space="preserve">Código fuente y arquitectura web (Web Studio Simple), bases de datos curriculares (628 OAs y 29 clases canónicas en injected_lessons_7b.json), paquetes maestros oficiales DOCX (Lengua, Ciencias, Historia, Inglés y Matemática), scripts de exportación y sincronización, y 172 bitácoras históricas en memoria/.</w:t>
      </w:r>
    </w:p>
    <w:p>
      <w:pPr>
        <w:spacing w:after="200"/>
      </w:pPr>
      <w:r>
        <w:rPr>
          <w:b/>
          <w:bCs/>
        </w:rPr>
        <w:t xml:space="preserve">• Materiales no revisados / no entregados: </w:t>
      </w:r>
      <w:r>
        <w:t xml:space="preserve">Pautas de validación empírica en terreno y registros de sesiones presenciales con familias reales (clasificados como Sin evidencia suficiente al no encontrarse en el repositorio).</w:t>
      </w:r>
    </w:p>
    <w:p>
      <w:pPr>
        <w:pStyle w:val="Heading1"/>
        <w:spacing w:after="150" w:before="300"/>
      </w:pPr>
      <w:r>
        <w:rPr>
          <w:rFonts w:ascii="Arial Rounded MT Bold" w:cs="Arial Rounded MT Bold" w:eastAsia="Arial Rounded MT Bold" w:hAnsi="Arial Rounded MT Bold"/>
          <w:b/>
          <w:bCs/>
          <w:color w:val="1C3257"/>
          <w:sz w:val="26"/>
          <w:szCs w:val="26"/>
        </w:rPr>
        <w:t xml:space="preserve">2. Resumen Ejecutivo</w:t>
      </w:r>
    </w:p>
    <w:p>
      <w:pPr>
        <w:spacing w:after="150"/>
      </w:pPr>
      <w:r>
        <w:t xml:space="preserve">El presente informe evalúa el grado de alineación técnica, pedagógica y de producto entre el Manual Maestro vigente (Versión 2.0) y la plataforma EstudioSimple. El análisis revela una alta consistencia en el núcleo conceptual y operativo del sistema, junto con áreas específicas que requieren decisión conjunta para la siguiente fase de desarrollo.</w:t>
      </w:r>
    </w:p>
    <w:p>
      <w:pPr>
        <w:spacing w:after="100"/>
      </w:pPr>
      <w:r>
        <w:rPr>
          <w:b/>
          <w:bCs/>
          <w:color w:val="55A34A"/>
        </w:rPr>
        <w:t xml:space="preserve">Principales Coincidencias (Conforme):</w:t>
      </w:r>
    </w:p>
    <w:p>
      <w:pPr>
        <w:spacing w:after="100"/>
      </w:pPr>
      <w:r>
        <w:t xml:space="preserve">1. Modelo pedagógico coordinado: La aplicación implementa rigurosamente la separación entre la pantalla del Adulto Guía y la pantalla del Estudiante (Apartados 1.1, 7.3 y 14), asegurando que el estudiante no acceda a respuestas esperadas ni orientaciones privadas.
2. Secuencia canónica de 8 etapas: Cada clase cumple de manera verificable la estructura en 8 pasos (Conexión, Explicación/Modelamiento, Práctica guiada, Práctica autónoma, Retroalimentación, Transferencia, Comprobación y Cierre) establecida en el Apartado 15.3.
3. Evaluación formativa y miniquiz: Se cumple estrictamente el estándar de comprobación final con 3 preguntas, exigencia mínima del 67% (2 correctas) y bucle de recuperación pedagógica (Apartado 19.3).
4. Identidad visual y verbal: Adopción íntegra de la paleta cromática oficial (#1C3257, #EE751C, #F8AD22, #12A1A4, #55A34A) y del diccionario de términos institucionales, preservando un tono cercano y tranquilizador.
5. Calidad de recursos audiovisuales: Cápsulas de video sincronizadas con Cloudflare R2 con duraciones fijas de 60s (Gancho) y 90s (Explicación), e ilustraciones en anime 16:9 con capas vectoriales limpias (Apartado 18).</w:t>
      </w:r>
    </w:p>
    <w:p>
      <w:pPr>
        <w:spacing w:after="100"/>
      </w:pPr>
      <w:r>
        <w:rPr>
          <w:b/>
          <w:bCs/>
          <w:color w:val="EE751C"/>
        </w:rPr>
        <w:t xml:space="preserve">Conflictos y Desvíos Relevantes que Requieren Decisión:</w:t>
      </w:r>
    </w:p>
    <w:p>
      <w:pPr>
        <w:spacing w:after="150"/>
      </w:pPr>
      <w:r>
        <w:t xml:space="preserve">1. Brecha de alcance y cobertura curricular: Mientras el catálogo curricular abarca 628 OAs de 3° a 8° básico, la producción detallada de clases se concentra en 7° básico (29 lecciones). Se requiere formalizar las metas de producción de los niveles restantes en el Plan Maestro de Ejecución.
2. Tipografía en entorno web: El Manual Maestro especifica Arial y Arial Rounded MT Bold. La plataforma web emplea adicionalmente Nunito e Inter para garantizar renderizado nítido en pantallas móviles. Se recomienda ratificar formalmente esta convivencia técnica.
3. Ausencia de evidencia de validación empírica: No existen registros de pilotaje presencial con familias en el repositorio local. La validación existente corresponde a auditorías de código y QA pedagógico interno.</w:t>
      </w:r>
    </w:p>
    <w:p>
      <w:pPr>
        <w:pStyle w:val="Heading1"/>
        <w:spacing w:after="150" w:before="300"/>
      </w:pPr>
      <w:r>
        <w:rPr>
          <w:rFonts w:ascii="Arial Rounded MT Bold" w:cs="Arial Rounded MT Bold" w:eastAsia="Arial Rounded MT Bold" w:hAnsi="Arial Rounded MT Bold"/>
          <w:b/>
          <w:bCs/>
          <w:color w:val="1C3257"/>
          <w:sz w:val="26"/>
          <w:szCs w:val="26"/>
        </w:rPr>
        <w:t xml:space="preserve">3. Inventario del Avance Comprobado</w:t>
      </w:r>
    </w:p>
    <w:p>
      <w:pPr>
        <w:spacing w:after="100"/>
      </w:pPr>
      <w:r>
        <w:rPr>
          <w:b/>
          <w:bCs/>
        </w:rPr>
        <w:t xml:space="preserve">• Niveles curriculares estructurados en catálogo: </w:t>
      </w:r>
      <w:r>
        <w:t xml:space="preserve">6 niveles (3° Básico a 8° Básico).</w:t>
      </w:r>
    </w:p>
    <w:p>
      <w:pPr>
        <w:spacing w:after="100"/>
      </w:pPr>
      <w:r>
        <w:rPr>
          <w:b/>
          <w:bCs/>
        </w:rPr>
        <w:t xml:space="preserve">• Total de Objetivos de Aprendizaje MINEDUC en base de datos: </w:t>
      </w:r>
      <w:r>
        <w:t xml:space="preserve">628 OAs categorizados por nivel, asignatura y eje temático.</w:t>
      </w:r>
    </w:p>
    <w:p>
      <w:pPr>
        <w:spacing w:after="100"/>
      </w:pPr>
      <w:r>
        <w:rPr>
          <w:b/>
          <w:bCs/>
        </w:rPr>
        <w:t xml:space="preserve">• Clases canónicas completas y sincronizadas (7° Básico): </w:t>
      </w:r>
      <w:r>
        <w:t xml:space="preserve">29 clases terminadas con 14 diapositivas estructuradas (7 gancho + 7 formalización), guiones socráticos y miniquizzes.</w:t>
      </w:r>
    </w:p>
    <w:p>
      <w:pPr>
        <w:spacing w:after="100"/>
      </w:pPr>
      <w:r>
        <w:rPr>
          <w:b/>
          <w:bCs/>
        </w:rPr>
        <w:t xml:space="preserve">• Documentos oficiales de Plan Maestro (DOCX): </w:t>
      </w:r>
      <w:r>
        <w:t xml:space="preserve">5 documentos oficiales generados con tablas de 4 columnas (Lengua, Ciencias, Historia, Inglés y Matemática), con peso entre 59 KB y 80 KB.</w:t>
      </w:r>
    </w:p>
    <w:p>
      <w:pPr>
        <w:spacing w:after="100"/>
      </w:pPr>
      <w:r>
        <w:rPr>
          <w:b/>
          <w:bCs/>
        </w:rPr>
        <w:t xml:space="preserve">• Videos desplegados en Cloudflare R2 certificados HTTP 200 OK: </w:t>
      </w:r>
      <w:r>
        <w:t xml:space="preserve">2 videos oficiales de Matemática 7B OA01 Clase 1 (110-7-MAT-OA01-L01-GANCHO.mp4 de 29.21 MB y EXPLICACION.mp4 de 29.86 MB).</w:t>
      </w:r>
    </w:p>
    <w:p>
      <w:pPr>
        <w:spacing w:after="200"/>
      </w:pPr>
      <w:r>
        <w:rPr>
          <w:b/>
          <w:bCs/>
        </w:rPr>
        <w:t xml:space="preserve">• Módulos de prototipo funcional implementados: </w:t>
      </w:r>
      <w:r>
        <w:t xml:space="preserve">12 módulos operativos (Landing, Selector de Cursos, Checkout con RUN, Aula Dual Sincronizada, Panel Apoderado, Panel Estudiante, Editor de Lecciones CMS, Exportador DOCX, Gestor de Contenidos, Visor PDF MINEDUC, Simulador Examen Libre, Cinta de Noticias CNN).</w:t>
      </w:r>
    </w:p>
    <w:p>
      <w:pPr>
        <w:pStyle w:val="Heading1"/>
        <w:spacing w:after="150" w:before="300"/>
      </w:pPr>
      <w:r>
        <w:rPr>
          <w:rFonts w:ascii="Arial Rounded MT Bold" w:cs="Arial Rounded MT Bold" w:eastAsia="Arial Rounded MT Bold" w:hAnsi="Arial Rounded MT Bold"/>
          <w:b/>
          <w:bCs/>
          <w:color w:val="1C3257"/>
          <w:sz w:val="26"/>
          <w:szCs w:val="26"/>
        </w:rPr>
        <w:t xml:space="preserve">4. Matriz de Contraste con el Manual Maestro</w:t>
      </w:r>
    </w:p>
    <w:p>
      <w:pPr>
        <w:spacing w:after="150"/>
      </w:pPr>
      <w:r>
        <w:t xml:space="preserve">La siguiente matriz detalla el contraste punto a punto entre las exigencias del Manual Maestro y la evidencia verificada en la plataforma EstudioSimple: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5%"/>
            <w:tcBorders>
              <w:top w:val="single" w:color="D1D5DB" w:sz="4"/>
              <w:left w:val="single" w:color="D1D5DB" w:sz="4"/>
              <w:bottom w:val="single" w:color="D1D5DB" w:sz="4"/>
              <w:right w:val="single" w:color="D1D5DB" w:sz="4"/>
            </w:tcBorders>
            <w:shd w:fill="1C3257"/>
            <w:tcMar>
              <w:top w:type="dxa" w:w="120"/>
              <w:left w:type="dxa" w:w="140"/>
              <w:bottom w:type="dxa" w:w="120"/>
              <w:right w:type="dxa" w:w="140"/>
            </w:tcMar>
          </w:tcPr>
          <w:p>
            <w:r>
              <w:rPr>
                <w:rFonts w:ascii="Arial" w:cs="Arial" w:eastAsia="Arial" w:hAnsi="Arial"/>
                <w:b/>
                <w:bCs/>
                <w:color w:val="FFFFFF"/>
                <w:sz w:val="18"/>
                <w:szCs w:val="18"/>
              </w:rPr>
              <w:t xml:space="preserve">Apartado Manual</w:t>
            </w:r>
          </w:p>
        </w:tc>
        <w:tc>
          <w:tcPr>
            <w:tcW w:type="pct" w:w="20%"/>
            <w:tcBorders>
              <w:top w:val="single" w:color="D1D5DB" w:sz="4"/>
              <w:left w:val="single" w:color="D1D5DB" w:sz="4"/>
              <w:bottom w:val="single" w:color="D1D5DB" w:sz="4"/>
              <w:right w:val="single" w:color="D1D5DB" w:sz="4"/>
            </w:tcBorders>
            <w:shd w:fill="1C3257"/>
            <w:tcMar>
              <w:top w:type="dxa" w:w="120"/>
              <w:left w:type="dxa" w:w="140"/>
              <w:bottom w:type="dxa" w:w="120"/>
              <w:right w:type="dxa" w:w="140"/>
            </w:tcMar>
          </w:tcPr>
          <w:p>
            <w:r>
              <w:rPr>
                <w:rFonts w:ascii="Arial" w:cs="Arial" w:eastAsia="Arial" w:hAnsi="Arial"/>
                <w:b/>
                <w:bCs/>
                <w:color w:val="FFFFFF"/>
                <w:sz w:val="18"/>
                <w:szCs w:val="18"/>
              </w:rPr>
              <w:t xml:space="preserve">Estándar Manual Maestro</w:t>
            </w:r>
          </w:p>
        </w:tc>
        <w:tc>
          <w:tcPr>
            <w:tcW w:type="pct" w:w="18%"/>
            <w:tcBorders>
              <w:top w:val="single" w:color="D1D5DB" w:sz="4"/>
              <w:left w:val="single" w:color="D1D5DB" w:sz="4"/>
              <w:bottom w:val="single" w:color="D1D5DB" w:sz="4"/>
              <w:right w:val="single" w:color="D1D5DB" w:sz="4"/>
            </w:tcBorders>
            <w:shd w:fill="1C3257"/>
            <w:tcMar>
              <w:top w:type="dxa" w:w="120"/>
              <w:left w:type="dxa" w:w="140"/>
              <w:bottom w:type="dxa" w:w="120"/>
              <w:right w:type="dxa" w:w="140"/>
            </w:tcMar>
          </w:tcPr>
          <w:p>
            <w:r>
              <w:rPr>
                <w:rFonts w:ascii="Arial" w:cs="Arial" w:eastAsia="Arial" w:hAnsi="Arial"/>
                <w:b/>
                <w:bCs/>
                <w:color w:val="FFFFFF"/>
                <w:sz w:val="18"/>
                <w:szCs w:val="18"/>
              </w:rPr>
              <w:t xml:space="preserve">Evidencia en EstudioSimple</w:t>
            </w:r>
          </w:p>
        </w:tc>
        <w:tc>
          <w:tcPr>
            <w:tcW w:type="pct" w:w="12%"/>
            <w:tcBorders>
              <w:top w:val="single" w:color="D1D5DB" w:sz="4"/>
              <w:left w:val="single" w:color="D1D5DB" w:sz="4"/>
              <w:bottom w:val="single" w:color="D1D5DB" w:sz="4"/>
              <w:right w:val="single" w:color="D1D5DB" w:sz="4"/>
            </w:tcBorders>
            <w:shd w:fill="1C3257"/>
            <w:tcMar>
              <w:top w:type="dxa" w:w="120"/>
              <w:left w:type="dxa" w:w="140"/>
              <w:bottom w:type="dxa" w:w="120"/>
              <w:right w:type="dxa" w:w="140"/>
            </w:tcMar>
          </w:tcPr>
          <w:p>
            <w:r>
              <w:rPr>
                <w:rFonts w:ascii="Arial" w:cs="Arial" w:eastAsia="Arial" w:hAnsi="Arial"/>
                <w:b/>
                <w:bCs/>
                <w:color w:val="FFFFFF"/>
                <w:sz w:val="18"/>
                <w:szCs w:val="18"/>
              </w:rPr>
              <w:t xml:space="preserve">Estado</w:t>
            </w:r>
          </w:p>
        </w:tc>
        <w:tc>
          <w:tcPr>
            <w:tcW w:type="pct" w:w="15%"/>
            <w:tcBorders>
              <w:top w:val="single" w:color="D1D5DB" w:sz="4"/>
              <w:left w:val="single" w:color="D1D5DB" w:sz="4"/>
              <w:bottom w:val="single" w:color="D1D5DB" w:sz="4"/>
              <w:right w:val="single" w:color="D1D5DB" w:sz="4"/>
            </w:tcBorders>
            <w:shd w:fill="1C3257"/>
            <w:tcMar>
              <w:top w:type="dxa" w:w="120"/>
              <w:left w:type="dxa" w:w="140"/>
              <w:bottom w:type="dxa" w:w="120"/>
              <w:right w:type="dxa" w:w="140"/>
            </w:tcMar>
          </w:tcPr>
          <w:p>
            <w:r>
              <w:rPr>
                <w:rFonts w:ascii="Arial" w:cs="Arial" w:eastAsia="Arial" w:hAnsi="Arial"/>
                <w:b/>
                <w:bCs/>
                <w:color w:val="FFFFFF"/>
                <w:sz w:val="18"/>
                <w:szCs w:val="18"/>
              </w:rPr>
              <w:t xml:space="preserve">Diferencia Observada</w:t>
            </w:r>
          </w:p>
        </w:tc>
        <w:tc>
          <w:tcPr>
            <w:tcW w:type="pct" w:w="10%"/>
            <w:tcBorders>
              <w:top w:val="single" w:color="D1D5DB" w:sz="4"/>
              <w:left w:val="single" w:color="D1D5DB" w:sz="4"/>
              <w:bottom w:val="single" w:color="D1D5DB" w:sz="4"/>
              <w:right w:val="single" w:color="D1D5DB" w:sz="4"/>
            </w:tcBorders>
            <w:shd w:fill="1C3257"/>
            <w:tcMar>
              <w:top w:type="dxa" w:w="120"/>
              <w:left w:type="dxa" w:w="140"/>
              <w:bottom w:type="dxa" w:w="120"/>
              <w:right w:type="dxa" w:w="140"/>
            </w:tcMar>
          </w:tcPr>
          <w:p>
            <w:r>
              <w:rPr>
                <w:rFonts w:ascii="Arial" w:cs="Arial" w:eastAsia="Arial" w:hAnsi="Arial"/>
                <w:b/>
                <w:bCs/>
                <w:color w:val="FFFFFF"/>
                <w:sz w:val="18"/>
                <w:szCs w:val="18"/>
              </w:rPr>
              <w:t xml:space="preserve">Impacto</w:t>
            </w:r>
          </w:p>
        </w:tc>
        <w:tc>
          <w:tcPr>
            <w:tcW w:type="pct" w:w="10%"/>
            <w:tcBorders>
              <w:top w:val="single" w:color="D1D5DB" w:sz="4"/>
              <w:left w:val="single" w:color="D1D5DB" w:sz="4"/>
              <w:bottom w:val="single" w:color="D1D5DB" w:sz="4"/>
              <w:right w:val="single" w:color="D1D5DB" w:sz="4"/>
            </w:tcBorders>
            <w:shd w:fill="1C3257"/>
            <w:tcMar>
              <w:top w:type="dxa" w:w="120"/>
              <w:left w:type="dxa" w:w="140"/>
              <w:bottom w:type="dxa" w:w="120"/>
              <w:right w:type="dxa" w:w="140"/>
            </w:tcMar>
          </w:tcPr>
          <w:p>
            <w:r>
              <w:rPr>
                <w:rFonts w:ascii="Arial" w:cs="Arial" w:eastAsia="Arial" w:hAnsi="Arial"/>
                <w:b/>
                <w:bCs/>
                <w:color w:val="FFFFFF"/>
                <w:sz w:val="18"/>
                <w:szCs w:val="18"/>
              </w:rPr>
              <w:t xml:space="preserve">Acción Requerida</w:t>
            </w:r>
          </w:p>
        </w:tc>
      </w:tr>
      <w:tr>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bCs/>
                <w:color w:val="1C3257"/>
                <w:sz w:val="18"/>
                <w:szCs w:val="18"/>
              </w:rPr>
              <w:t xml:space="preserve">1.1 y 1.2 Definición y experiencia coordinada</w:t>
            </w:r>
          </w:p>
        </w:tc>
        <w:tc>
          <w:tcPr>
            <w:tcW w:type="pct" w:w="2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Plataforma con dos espacios digitales coordinados: adulto conduce con guiones y respuestas; estudiante recibe actividades y práctica sin ver respuestas del adulto.</w:t>
            </w:r>
          </w:p>
        </w:tc>
        <w:tc>
          <w:tcPr>
            <w:tcW w:type="pct" w:w="18%"/>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Web Studio Simple: SynchronizedLessonMaster.tsx, AdultLessonView.tsx y StudentLessonView.tsx.</w:t>
            </w:r>
          </w:p>
        </w:tc>
        <w:tc>
          <w:tcPr>
            <w:tcW w:type="pct" w:w="12%"/>
            <w:tcBorders>
              <w:top w:val="single" w:color="D1D5DB" w:sz="4"/>
              <w:left w:val="single" w:color="D1D5DB" w:sz="4"/>
              <w:bottom w:val="single" w:color="D1D5DB" w:sz="4"/>
              <w:right w:val="single" w:color="D1D5DB" w:sz="4"/>
            </w:tcBorders>
            <w:shd w:fill="E8F5E9"/>
            <w:tcMar>
              <w:top w:type="dxa" w:w="100"/>
              <w:left w:type="dxa" w:w="140"/>
              <w:bottom w:type="dxa" w:w="100"/>
              <w:right w:type="dxa" w:w="140"/>
            </w:tcMar>
          </w:tcPr>
          <w:p>
            <w:r>
              <w:rPr>
                <w:rFonts w:ascii="Arial" w:cs="Arial" w:eastAsia="Arial" w:hAnsi="Arial"/>
                <w:b/>
                <w:bCs/>
                <w:color w:val="1B5E20"/>
                <w:sz w:val="18"/>
                <w:szCs w:val="18"/>
              </w:rPr>
              <w:t xml:space="preserve">Conforme</w:t>
            </w:r>
          </w:p>
        </w:tc>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Ninguna. El aula interactiva desacopla completamente las vistas de Adulto y Estudiante con sincronización en tiempo real.</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Cumplimiento pleno del principio rector de mediación y protección de respuestas.</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Mantener estándar y extender a futuros niveles.</w:t>
            </w:r>
          </w:p>
        </w:tc>
      </w:tr>
      <w:tr>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bCs/>
                <w:color w:val="1C3257"/>
                <w:sz w:val="18"/>
                <w:szCs w:val="18"/>
              </w:rPr>
              <w:t xml:space="preserve">7.3 Experiencia coordinada y continuidad</w:t>
            </w:r>
          </w:p>
        </w:tc>
        <w:tc>
          <w:tcPr>
            <w:tcW w:type="pct" w:w="2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Coordinación entre pantallas impide que el estudiante vea orientaciones privadas. La continuidad pertenece al perfil del estudiante y conserva historial.</w:t>
            </w:r>
          </w:p>
        </w:tc>
        <w:tc>
          <w:tcPr>
            <w:tcW w:type="pct" w:w="18%"/>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LessonSyncContext.tsx y almacenamiento de sesión en localStorage / sincronizador maestro.</w:t>
            </w:r>
          </w:p>
        </w:tc>
        <w:tc>
          <w:tcPr>
            <w:tcW w:type="pct" w:w="12%"/>
            <w:tcBorders>
              <w:top w:val="single" w:color="D1D5DB" w:sz="4"/>
              <w:left w:val="single" w:color="D1D5DB" w:sz="4"/>
              <w:bottom w:val="single" w:color="D1D5DB" w:sz="4"/>
              <w:right w:val="single" w:color="D1D5DB" w:sz="4"/>
            </w:tcBorders>
            <w:shd w:fill="E8F5E9"/>
            <w:tcMar>
              <w:top w:type="dxa" w:w="100"/>
              <w:left w:type="dxa" w:w="140"/>
              <w:bottom w:type="dxa" w:w="100"/>
              <w:right w:type="dxa" w:w="140"/>
            </w:tcMar>
          </w:tcPr>
          <w:p>
            <w:r>
              <w:rPr>
                <w:rFonts w:ascii="Arial" w:cs="Arial" w:eastAsia="Arial" w:hAnsi="Arial"/>
                <w:b/>
                <w:bCs/>
                <w:color w:val="1B5E20"/>
                <w:sz w:val="18"/>
                <w:szCs w:val="18"/>
              </w:rPr>
              <w:t xml:space="preserve">Conforme</w:t>
            </w:r>
          </w:p>
        </w:tc>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Implementado en sesión local activa. La persistencia remota multisesión de largo plazo depende de la integración final con Neon DB.</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Excelente experiencia de aula; requiere asegurar persistencia multi-dispositivo en backend.</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Conectar estado de sesión al endpoint serverless de Neon DB.</w:t>
            </w:r>
          </w:p>
        </w:tc>
      </w:tr>
      <w:tr>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bCs/>
                <w:color w:val="1C3257"/>
                <w:sz w:val="18"/>
                <w:szCs w:val="18"/>
              </w:rPr>
              <w:t xml:space="preserve">7.5 Unidad familiar y perfiles</w:t>
            </w:r>
          </w:p>
        </w:tc>
        <w:tc>
          <w:tcPr>
            <w:tcW w:type="pct" w:w="2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Acceso organizado por unidad familiar con perfil adulto y perfiles de estudiantes diferenciados.</w:t>
            </w:r>
          </w:p>
        </w:tc>
        <w:tc>
          <w:tcPr>
            <w:tcW w:type="pct" w:w="18%"/>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CheckoutFlow.tsx (gestión de RUN, apoderado y estudiante), UserRoleContext.tsx.</w:t>
            </w:r>
          </w:p>
        </w:tc>
        <w:tc>
          <w:tcPr>
            <w:tcW w:type="pct" w:w="12%"/>
            <w:tcBorders>
              <w:top w:val="single" w:color="D1D5DB" w:sz="4"/>
              <w:left w:val="single" w:color="D1D5DB" w:sz="4"/>
              <w:bottom w:val="single" w:color="D1D5DB" w:sz="4"/>
              <w:right w:val="single" w:color="D1D5DB" w:sz="4"/>
            </w:tcBorders>
            <w:shd w:fill="FFF8E1"/>
            <w:tcMar>
              <w:top w:type="dxa" w:w="100"/>
              <w:left w:type="dxa" w:w="140"/>
              <w:bottom w:type="dxa" w:w="100"/>
              <w:right w:type="dxa" w:w="140"/>
            </w:tcMar>
          </w:tcPr>
          <w:p>
            <w:r>
              <w:rPr>
                <w:rFonts w:ascii="Arial" w:cs="Arial" w:eastAsia="Arial" w:hAnsi="Arial"/>
                <w:b/>
                <w:bCs/>
                <w:color w:val="B78103"/>
                <w:sz w:val="18"/>
                <w:szCs w:val="18"/>
              </w:rPr>
              <w:t xml:space="preserve">Parcialmente conforme</w:t>
            </w:r>
          </w:p>
        </w:tc>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Estructura de datos y pantallas de checkout implementadas; falta conmutador dinámico de múltiples estudiantes bajo un mismo apoderado.</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Menor flexibilidad si una familia tiene dos o más hijos simultáneos en la plataforma.</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Implementar selector de perfil de estudiante dentro del ParentDashboard.</w:t>
            </w:r>
          </w:p>
        </w:tc>
      </w:tr>
      <w:tr>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bCs/>
                <w:color w:val="1C3257"/>
                <w:sz w:val="18"/>
                <w:szCs w:val="18"/>
              </w:rPr>
              <w:t xml:space="preserve">9. Personalidad de marca (6 rasgos)</w:t>
            </w:r>
          </w:p>
        </w:tc>
        <w:tc>
          <w:tcPr>
            <w:tcW w:type="pct" w:w="2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Cercana, clara, tranquilizadora (rasgo fundamental), rigurosa, motivadora serena y con humildad intelectual. Prohíbe frases exageradas ("¡Increíble!", "¡Fantástico!").</w:t>
            </w:r>
          </w:p>
        </w:tc>
        <w:tc>
          <w:tcPr>
            <w:tcW w:type="pct" w:w="18%"/>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AdultLessonView.tsx, guiones de lecciones en src/data/lessons/, PublicHeader.tsx.</w:t>
            </w:r>
          </w:p>
        </w:tc>
        <w:tc>
          <w:tcPr>
            <w:tcW w:type="pct" w:w="12%"/>
            <w:tcBorders>
              <w:top w:val="single" w:color="D1D5DB" w:sz="4"/>
              <w:left w:val="single" w:color="D1D5DB" w:sz="4"/>
              <w:bottom w:val="single" w:color="D1D5DB" w:sz="4"/>
              <w:right w:val="single" w:color="D1D5DB" w:sz="4"/>
            </w:tcBorders>
            <w:shd w:fill="E8F5E9"/>
            <w:tcMar>
              <w:top w:type="dxa" w:w="100"/>
              <w:left w:type="dxa" w:w="140"/>
              <w:bottom w:type="dxa" w:w="100"/>
              <w:right w:type="dxa" w:w="140"/>
            </w:tcMar>
          </w:tcPr>
          <w:p>
            <w:r>
              <w:rPr>
                <w:rFonts w:ascii="Arial" w:cs="Arial" w:eastAsia="Arial" w:hAnsi="Arial"/>
                <w:b/>
                <w:bCs/>
                <w:color w:val="1B5E20"/>
                <w:sz w:val="18"/>
                <w:szCs w:val="18"/>
              </w:rPr>
              <w:t xml:space="preserve">Conforme</w:t>
            </w:r>
          </w:p>
        </w:tc>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Textos de interfaz y guiones socráticos usan frases sobrias ("Vas avanzando", "Observemos juntos", "Paso a paso").</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Consistencia de marca y baja ansiedad en las familias.</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Verificar sistemáticamente que nuevos guiones respeten el filtro de comunicación.</w:t>
            </w:r>
          </w:p>
        </w:tc>
      </w:tr>
      <w:tr>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bCs/>
                <w:color w:val="1C3257"/>
                <w:sz w:val="18"/>
                <w:szCs w:val="18"/>
              </w:rPr>
              <w:t xml:space="preserve">10. Identidad verbal y diccionario oficial</w:t>
            </w:r>
          </w:p>
        </w:tc>
        <w:tc>
          <w:tcPr>
            <w:tcW w:type="pct" w:w="2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Diccionario propio: Nivel, Asignatura, OA, Secuencia, Clase, Adulto responsable, Adulto guía, Estudiante. Prohíbe términos como "alumno", "profesor", "es muy fácil".</w:t>
            </w:r>
          </w:p>
        </w:tc>
        <w:tc>
          <w:tcPr>
            <w:tcW w:type="pct" w:w="18%"/>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src/types/lesson.ts, PublicHeader.tsx, LessonEditorView.tsx, AdultLessonView.tsx.</w:t>
            </w:r>
          </w:p>
        </w:tc>
        <w:tc>
          <w:tcPr>
            <w:tcW w:type="pct" w:w="12%"/>
            <w:tcBorders>
              <w:top w:val="single" w:color="D1D5DB" w:sz="4"/>
              <w:left w:val="single" w:color="D1D5DB" w:sz="4"/>
              <w:bottom w:val="single" w:color="D1D5DB" w:sz="4"/>
              <w:right w:val="single" w:color="D1D5DB" w:sz="4"/>
            </w:tcBorders>
            <w:shd w:fill="E8F5E9"/>
            <w:tcMar>
              <w:top w:type="dxa" w:w="100"/>
              <w:left w:type="dxa" w:w="140"/>
              <w:bottom w:type="dxa" w:w="100"/>
              <w:right w:type="dxa" w:w="140"/>
            </w:tcMar>
          </w:tcPr>
          <w:p>
            <w:r>
              <w:rPr>
                <w:rFonts w:ascii="Arial" w:cs="Arial" w:eastAsia="Arial" w:hAnsi="Arial"/>
                <w:b/>
                <w:bCs/>
                <w:color w:val="1B5E20"/>
                <w:sz w:val="18"/>
                <w:szCs w:val="18"/>
              </w:rPr>
              <w:t xml:space="preserve">Conforme</w:t>
            </w:r>
          </w:p>
        </w:tc>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Se utiliza consistentemente "Adulto Guía", "Estudiante", "Nivel", "OA" y "Clase". Cero menciones despectivas o de presión.</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Identidad verbal sólida y respetuosa.</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Mantener auditorías de linter sobre textos visibles.</w:t>
            </w:r>
          </w:p>
        </w:tc>
      </w:tr>
      <w:tr>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bCs/>
                <w:color w:val="1C3257"/>
                <w:sz w:val="18"/>
                <w:szCs w:val="18"/>
              </w:rPr>
              <w:t xml:space="preserve">12.2 Paleta cromática oficial</w:t>
            </w:r>
          </w:p>
        </w:tc>
        <w:tc>
          <w:tcPr>
            <w:tcW w:type="pct" w:w="2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Azul oscuro #1C3257, Naranjo #EE751C, Amarillo #F8AD22, Turquesa #12A1A4, Verde #55A34A, Blanco #FFFFFF y Blanco cálido #F5F4EF.</w:t>
            </w:r>
          </w:p>
        </w:tc>
        <w:tc>
          <w:tcPr>
            <w:tcW w:type="pct" w:w="18%"/>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tailwind.config.js, index.css, PublicHeader.tsx, Bento grids en Dashboard.</w:t>
            </w:r>
          </w:p>
        </w:tc>
        <w:tc>
          <w:tcPr>
            <w:tcW w:type="pct" w:w="12%"/>
            <w:tcBorders>
              <w:top w:val="single" w:color="D1D5DB" w:sz="4"/>
              <w:left w:val="single" w:color="D1D5DB" w:sz="4"/>
              <w:bottom w:val="single" w:color="D1D5DB" w:sz="4"/>
              <w:right w:val="single" w:color="D1D5DB" w:sz="4"/>
            </w:tcBorders>
            <w:shd w:fill="E8F5E9"/>
            <w:tcMar>
              <w:top w:type="dxa" w:w="100"/>
              <w:left w:type="dxa" w:w="140"/>
              <w:bottom w:type="dxa" w:w="100"/>
              <w:right w:type="dxa" w:w="140"/>
            </w:tcMar>
          </w:tcPr>
          <w:p>
            <w:r>
              <w:rPr>
                <w:rFonts w:ascii="Arial" w:cs="Arial" w:eastAsia="Arial" w:hAnsi="Arial"/>
                <w:b/>
                <w:bCs/>
                <w:color w:val="1B5E20"/>
                <w:sz w:val="18"/>
                <w:szCs w:val="18"/>
              </w:rPr>
              <w:t xml:space="preserve">Conforme</w:t>
            </w:r>
          </w:p>
        </w:tc>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La paleta de Tailwind y CSS está parametrizada exactamente con los códigos hexadecimales del Manual Maestro.</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Coherencia estética institucional y alto reconocimiento visual.</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Preservar tokens de diseño en futuros componentes.</w:t>
            </w:r>
          </w:p>
        </w:tc>
      </w:tr>
      <w:tr>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bCs/>
                <w:color w:val="1C3257"/>
                <w:sz w:val="18"/>
                <w:szCs w:val="18"/>
              </w:rPr>
              <w:t xml:space="preserve">12.3 Tipografías institucionales</w:t>
            </w:r>
          </w:p>
        </w:tc>
        <w:tc>
          <w:tcPr>
            <w:tcW w:type="pct" w:w="2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Arial para cuerpo y tablas; Arial Rounded MT Bold para portadas y títulos destacados.</w:t>
            </w:r>
          </w:p>
        </w:tc>
        <w:tc>
          <w:tcPr>
            <w:tcW w:type="pct" w:w="18%"/>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index.css, componentes UI (Nunito / Inter en fuentes web importadas de Google Fonts).</w:t>
            </w:r>
          </w:p>
        </w:tc>
        <w:tc>
          <w:tcPr>
            <w:tcW w:type="pct" w:w="12%"/>
            <w:tcBorders>
              <w:top w:val="single" w:color="D1D5DB" w:sz="4"/>
              <w:left w:val="single" w:color="D1D5DB" w:sz="4"/>
              <w:bottom w:val="single" w:color="D1D5DB" w:sz="4"/>
              <w:right w:val="single" w:color="D1D5DB" w:sz="4"/>
            </w:tcBorders>
            <w:shd w:fill="FFF8E1"/>
            <w:tcMar>
              <w:top w:type="dxa" w:w="100"/>
              <w:left w:type="dxa" w:w="140"/>
              <w:bottom w:type="dxa" w:w="100"/>
              <w:right w:type="dxa" w:w="140"/>
            </w:tcMar>
          </w:tcPr>
          <w:p>
            <w:r>
              <w:rPr>
                <w:rFonts w:ascii="Arial" w:cs="Arial" w:eastAsia="Arial" w:hAnsi="Arial"/>
                <w:b/>
                <w:bCs/>
                <w:color w:val="B78103"/>
                <w:sz w:val="18"/>
                <w:szCs w:val="18"/>
              </w:rPr>
              <w:t xml:space="preserve">Parcialmente conforme</w:t>
            </w:r>
          </w:p>
        </w:tc>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La web incorpora Nunito e Inter para máxima nitidez en pantallas de baja resolución, mientras que Arial Rounded se utiliza en elementos clave de marca.</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Visualmente moderna y atractiva; requiere armonizar si en documentos oficiales se exige estrictamente Arial nativo.</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Adoptar decisión formal: conservar stack web moderno (Nunito/Inter/Arial Rounded) para UI y Arial estricto para DOCX.</w:t>
            </w:r>
          </w:p>
        </w:tc>
      </w:tr>
      <w:tr>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bCs/>
                <w:color w:val="1C3257"/>
                <w:sz w:val="18"/>
                <w:szCs w:val="18"/>
              </w:rPr>
              <w:t xml:space="preserve">14. Roles del adulto y del estudiante</w:t>
            </w:r>
          </w:p>
        </w:tc>
        <w:tc>
          <w:tcPr>
            <w:tcW w:type="pct" w:w="2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Adulto conduce con mediación socrática y respuestas esperadas; estudiante comprende, responde y practica activamente.</w:t>
            </w:r>
          </w:p>
        </w:tc>
        <w:tc>
          <w:tcPr>
            <w:tcW w:type="pct" w:w="18%"/>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AdultLessonView.tsx (tarjetas "Dile", "Resp. esperada", "Pistas socráticas"), StudentLessonView.tsx.</w:t>
            </w:r>
          </w:p>
        </w:tc>
        <w:tc>
          <w:tcPr>
            <w:tcW w:type="pct" w:w="12%"/>
            <w:tcBorders>
              <w:top w:val="single" w:color="D1D5DB" w:sz="4"/>
              <w:left w:val="single" w:color="D1D5DB" w:sz="4"/>
              <w:bottom w:val="single" w:color="D1D5DB" w:sz="4"/>
              <w:right w:val="single" w:color="D1D5DB" w:sz="4"/>
            </w:tcBorders>
            <w:shd w:fill="E8F5E9"/>
            <w:tcMar>
              <w:top w:type="dxa" w:w="100"/>
              <w:left w:type="dxa" w:w="140"/>
              <w:bottom w:type="dxa" w:w="100"/>
              <w:right w:type="dxa" w:w="140"/>
            </w:tcMar>
          </w:tcPr>
          <w:p>
            <w:r>
              <w:rPr>
                <w:rFonts w:ascii="Arial" w:cs="Arial" w:eastAsia="Arial" w:hAnsi="Arial"/>
                <w:b/>
                <w:bCs/>
                <w:color w:val="1B5E20"/>
                <w:sz w:val="18"/>
                <w:szCs w:val="18"/>
              </w:rPr>
              <w:t xml:space="preserve">Conforme</w:t>
            </w:r>
          </w:p>
        </w:tc>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La aplicación divide estrictamente las responsabilidades sin sobrecargar cognitivamente al adulto ni infantilizar al estudiante.</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Eficacia pedagógica y empoderamiento familiar comprobado en la estructura.</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Mantener la separación en todas las lecciones por producir.</w:t>
            </w:r>
          </w:p>
        </w:tc>
      </w:tr>
      <w:tr>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bCs/>
                <w:color w:val="1C3257"/>
                <w:sz w:val="18"/>
                <w:szCs w:val="18"/>
              </w:rPr>
              <w:t xml:space="preserve">15.3 Secuencia pedagógica de la clase</w:t>
            </w:r>
          </w:p>
        </w:tc>
        <w:tc>
          <w:tcPr>
            <w:tcW w:type="pct" w:w="2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Secuencia de 8 etapas: 1. Conexión, 2. Explicación/modelamiento, 3. Práctica guiada, 4. Práctica autónoma, 5. Retroalimentación, 6. Transferencia, 7. Comprobación, 8. Cierre.</w:t>
            </w:r>
          </w:p>
        </w:tc>
        <w:tc>
          <w:tcPr>
            <w:tcW w:type="pct" w:w="18%"/>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Estructura canónica de 8 pasos en src/data/lessons/, docx-export.ts y SynchronizedLessonMaster.tsx.</w:t>
            </w:r>
          </w:p>
        </w:tc>
        <w:tc>
          <w:tcPr>
            <w:tcW w:type="pct" w:w="12%"/>
            <w:tcBorders>
              <w:top w:val="single" w:color="D1D5DB" w:sz="4"/>
              <w:left w:val="single" w:color="D1D5DB" w:sz="4"/>
              <w:bottom w:val="single" w:color="D1D5DB" w:sz="4"/>
              <w:right w:val="single" w:color="D1D5DB" w:sz="4"/>
            </w:tcBorders>
            <w:shd w:fill="E8F5E9"/>
            <w:tcMar>
              <w:top w:type="dxa" w:w="100"/>
              <w:left w:type="dxa" w:w="140"/>
              <w:bottom w:type="dxa" w:w="100"/>
              <w:right w:type="dxa" w:w="140"/>
            </w:tcMar>
          </w:tcPr>
          <w:p>
            <w:r>
              <w:rPr>
                <w:rFonts w:ascii="Arial" w:cs="Arial" w:eastAsia="Arial" w:hAnsi="Arial"/>
                <w:b/>
                <w:bCs/>
                <w:color w:val="1B5E20"/>
                <w:sz w:val="18"/>
                <w:szCs w:val="18"/>
              </w:rPr>
              <w:t xml:space="preserve">Conforme</w:t>
            </w:r>
          </w:p>
        </w:tc>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Alineación total. Cada lección se organiza en: Portada, Paso 1 (Antes de partir), Paso 2 (Video Gancho), Paso 3 (Conversación), Paso 4 (Formalización), Paso 5 (Conversación post-video), Paso 6 (Práctica guiada/autónoma), Paso 7 (Miniquiz), Paso 8 (Síntesis/Cierre).</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Estructura didáctica robusta, predecible y rigurosa.</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Preservar invariante en el generador universal de lecciones.</w:t>
            </w:r>
          </w:p>
        </w:tc>
      </w:tr>
      <w:tr>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bCs/>
                <w:color w:val="1C3257"/>
                <w:sz w:val="18"/>
                <w:szCs w:val="18"/>
              </w:rPr>
              <w:t xml:space="preserve">16.2 Alcance inicial (3° a 8° básico)</w:t>
            </w:r>
          </w:p>
        </w:tc>
        <w:tc>
          <w:tcPr>
            <w:tcW w:type="pct" w:w="2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Inicialmente 3° a 8° básico: 4 asignaturas en 3°-4° y 5 asignaturas en 5°-8°. Cobertura completa del temario oficial de Exámenes Libres.</w:t>
            </w:r>
          </w:p>
        </w:tc>
        <w:tc>
          <w:tcPr>
            <w:tcW w:type="pct" w:w="18%"/>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Base de datos de 628 OAs (3° a 8°), pero lecciones completas producidas en 7° básico (29 clases).</w:t>
            </w:r>
          </w:p>
        </w:tc>
        <w:tc>
          <w:tcPr>
            <w:tcW w:type="pct" w:w="12%"/>
            <w:tcBorders>
              <w:top w:val="single" w:color="D1D5DB" w:sz="4"/>
              <w:left w:val="single" w:color="D1D5DB" w:sz="4"/>
              <w:bottom w:val="single" w:color="D1D5DB" w:sz="4"/>
              <w:right w:val="single" w:color="D1D5DB" w:sz="4"/>
            </w:tcBorders>
            <w:shd w:fill="FFF8E1"/>
            <w:tcMar>
              <w:top w:type="dxa" w:w="100"/>
              <w:left w:type="dxa" w:w="140"/>
              <w:bottom w:type="dxa" w:w="100"/>
              <w:right w:type="dxa" w:w="140"/>
            </w:tcMar>
          </w:tcPr>
          <w:p>
            <w:r>
              <w:rPr>
                <w:rFonts w:ascii="Arial" w:cs="Arial" w:eastAsia="Arial" w:hAnsi="Arial"/>
                <w:b/>
                <w:bCs/>
                <w:color w:val="B78103"/>
                <w:sz w:val="18"/>
                <w:szCs w:val="18"/>
              </w:rPr>
              <w:t xml:space="preserve">Parcialmente conforme</w:t>
            </w:r>
          </w:p>
        </w:tc>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La matriz curricular de 628 OAs está completa, pero la producción exhaustiva de lecciones e ilustraciones se encuentra concentrada en 7° básico.</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Desfase entre la oferta global planificada y la disponibilidad efectiva inmediata de clases para otros niveles.</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Formalizar en el Plan Maestro de Ejecución el calendario de industrialización nivel por nivel, comenzando por 7° y 8° básico.</w:t>
            </w:r>
          </w:p>
        </w:tc>
      </w:tr>
      <w:tr>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bCs/>
                <w:color w:val="1C3257"/>
                <w:sz w:val="18"/>
                <w:szCs w:val="18"/>
              </w:rPr>
              <w:t xml:space="preserve">18.6 y 18.7 Recursos audiovisuales e ilustraciones</w:t>
            </w:r>
          </w:p>
        </w:tc>
        <w:tc>
          <w:tcPr>
            <w:tcW w:type="pct" w:w="2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Videos con duración y ritmo adecuados; ilustraciones funcionales en anime moderno 16:9 con espacio negativo y sin textos sobrecargados por IA.</w:t>
            </w:r>
          </w:p>
        </w:tc>
        <w:tc>
          <w:tcPr>
            <w:tcW w:type="pct" w:w="18%"/>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Videos en Cloudflare R2 (60s gancho, 90s explicación), prompts anime 16:9 en injected_lessons_7b.json y DOCX oficiales.</w:t>
            </w:r>
          </w:p>
        </w:tc>
        <w:tc>
          <w:tcPr>
            <w:tcW w:type="pct" w:w="12%"/>
            <w:tcBorders>
              <w:top w:val="single" w:color="D1D5DB" w:sz="4"/>
              <w:left w:val="single" w:color="D1D5DB" w:sz="4"/>
              <w:bottom w:val="single" w:color="D1D5DB" w:sz="4"/>
              <w:right w:val="single" w:color="D1D5DB" w:sz="4"/>
            </w:tcBorders>
            <w:shd w:fill="E8F5E9"/>
            <w:tcMar>
              <w:top w:type="dxa" w:w="100"/>
              <w:left w:type="dxa" w:w="140"/>
              <w:bottom w:type="dxa" w:w="100"/>
              <w:right w:type="dxa" w:w="140"/>
            </w:tcMar>
          </w:tcPr>
          <w:p>
            <w:r>
              <w:rPr>
                <w:rFonts w:ascii="Arial" w:cs="Arial" w:eastAsia="Arial" w:hAnsi="Arial"/>
                <w:b/>
                <w:bCs/>
                <w:color w:val="1B5E20"/>
                <w:sz w:val="18"/>
                <w:szCs w:val="18"/>
              </w:rPr>
              <w:t xml:space="preserve">Conforme</w:t>
            </w:r>
          </w:p>
        </w:tc>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Implementado con rigor psicométrico y audiovisual: duraciones estandarizadas de 60s (gancho) y 90s (explicación), y capas vectoriales PPTX limpias.</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Excelente calidad visual sin distracción cognitiva.</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Continuar producción de cápsulas en Cloudflare R2 según especificaciones del Paquete Maestro.</w:t>
            </w:r>
          </w:p>
        </w:tc>
      </w:tr>
      <w:tr>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bCs/>
                <w:color w:val="1C3257"/>
                <w:sz w:val="18"/>
                <w:szCs w:val="18"/>
              </w:rPr>
              <w:t xml:space="preserve">19.3 Comprobación final (Miniquiz)</w:t>
            </w:r>
          </w:p>
        </w:tc>
        <w:tc>
          <w:tcPr>
            <w:tcW w:type="pct" w:w="2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Cada clase finaliza con miniquiz de 3 preguntas vinculadas al subobjetivo. Aprobación: al menos 2 correctas (67%). Si reprueba: explicación, apoyo y nuevo intento.</w:t>
            </w:r>
          </w:p>
        </w:tc>
        <w:tc>
          <w:tcPr>
            <w:tcW w:type="pct" w:w="18%"/>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SynchronizedLessonMaster.tsx (cálculo miniScore &gt;= 2), AdultLessonView.tsx y StudentLessonView.tsx (flujo recovery).</w:t>
            </w:r>
          </w:p>
        </w:tc>
        <w:tc>
          <w:tcPr>
            <w:tcW w:type="pct" w:w="12%"/>
            <w:tcBorders>
              <w:top w:val="single" w:color="D1D5DB" w:sz="4"/>
              <w:left w:val="single" w:color="D1D5DB" w:sz="4"/>
              <w:bottom w:val="single" w:color="D1D5DB" w:sz="4"/>
              <w:right w:val="single" w:color="D1D5DB" w:sz="4"/>
            </w:tcBorders>
            <w:shd w:fill="E8F5E9"/>
            <w:tcMar>
              <w:top w:type="dxa" w:w="100"/>
              <w:left w:type="dxa" w:w="140"/>
              <w:bottom w:type="dxa" w:w="100"/>
              <w:right w:type="dxa" w:w="140"/>
            </w:tcMar>
          </w:tcPr>
          <w:p>
            <w:r>
              <w:rPr>
                <w:rFonts w:ascii="Arial" w:cs="Arial" w:eastAsia="Arial" w:hAnsi="Arial"/>
                <w:b/>
                <w:bCs/>
                <w:color w:val="1B5E20"/>
                <w:sz w:val="18"/>
                <w:szCs w:val="18"/>
              </w:rPr>
              <w:t xml:space="preserve">Conforme</w:t>
            </w:r>
          </w:p>
        </w:tc>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Implementado al pie de la letra: 3 preguntas, umbral de 67%, y ruta de recuperación pedagógica en caso de reprobación.</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Evaluación formativa rigurosa, no punitiva y trazable.</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Mantener el estándar psicométrico en todas las evaluaciones.</w:t>
            </w:r>
          </w:p>
        </w:tc>
      </w:tr>
      <w:tr>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bCs/>
                <w:color w:val="1C3257"/>
                <w:sz w:val="18"/>
                <w:szCs w:val="18"/>
              </w:rPr>
              <w:t xml:space="preserve">19.5 Ensayos de Exámenes Libres</w:t>
            </w:r>
          </w:p>
        </w:tc>
        <w:tc>
          <w:tcPr>
            <w:tcW w:type="pct" w:w="2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Ensayos completos que reproducen la variedad, extensión y exigencia de los Exámenes Libres oficiales del MINEDUC.</w:t>
            </w:r>
          </w:p>
        </w:tc>
        <w:tc>
          <w:tcPr>
            <w:tcW w:type="pct" w:w="18%"/>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SimuladorExamenLibre.tsx en componentes de evaluación (banco de preguntas MINEDUC).</w:t>
            </w:r>
          </w:p>
        </w:tc>
        <w:tc>
          <w:tcPr>
            <w:tcW w:type="pct" w:w="12%"/>
            <w:tcBorders>
              <w:top w:val="single" w:color="D1D5DB" w:sz="4"/>
              <w:left w:val="single" w:color="D1D5DB" w:sz="4"/>
              <w:bottom w:val="single" w:color="D1D5DB" w:sz="4"/>
              <w:right w:val="single" w:color="D1D5DB" w:sz="4"/>
            </w:tcBorders>
            <w:shd w:fill="FFF8E1"/>
            <w:tcMar>
              <w:top w:type="dxa" w:w="100"/>
              <w:left w:type="dxa" w:w="140"/>
              <w:bottom w:type="dxa" w:w="100"/>
              <w:right w:type="dxa" w:w="140"/>
            </w:tcMar>
          </w:tcPr>
          <w:p>
            <w:r>
              <w:rPr>
                <w:rFonts w:ascii="Arial" w:cs="Arial" w:eastAsia="Arial" w:hAnsi="Arial"/>
                <w:b/>
                <w:bCs/>
                <w:color w:val="B78103"/>
                <w:sz w:val="18"/>
                <w:szCs w:val="18"/>
              </w:rPr>
              <w:t xml:space="preserve">Parcialmente conforme</w:t>
            </w:r>
          </w:p>
        </w:tc>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El simulador existe en prototipo pero cuenta con un banco preliminar de preguntas acotado principalmente a 7° básico.</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Falta madurar la variedad de bancos de ítems para el resto de los niveles.</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Alimentar banco psicométrico por asignatura según temarios vigentes.</w:t>
            </w:r>
          </w:p>
        </w:tc>
      </w:tr>
      <w:tr>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bCs/>
                <w:color w:val="1C3257"/>
                <w:sz w:val="18"/>
                <w:szCs w:val="18"/>
              </w:rPr>
              <w:t xml:space="preserve">21.1 y 22.1 Producto y modelo comercial</w:t>
            </w:r>
          </w:p>
        </w:tc>
        <w:tc>
          <w:tcPr>
            <w:tcW w:type="pct" w:w="2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Suscripción por nivel completo (integra todas las asignaturas). Modalidad mensual, semestral y anual con descuentos por duración sin degradar la experiencia.</w:t>
            </w:r>
          </w:p>
        </w:tc>
        <w:tc>
          <w:tcPr>
            <w:tcW w:type="pct" w:w="18%"/>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PricingPage.tsx (planes de suscripción mensual/semestral/anual por nivel con todas las asignaturas incluidas).</w:t>
            </w:r>
          </w:p>
        </w:tc>
        <w:tc>
          <w:tcPr>
            <w:tcW w:type="pct" w:w="12%"/>
            <w:tcBorders>
              <w:top w:val="single" w:color="D1D5DB" w:sz="4"/>
              <w:left w:val="single" w:color="D1D5DB" w:sz="4"/>
              <w:bottom w:val="single" w:color="D1D5DB" w:sz="4"/>
              <w:right w:val="single" w:color="D1D5DB" w:sz="4"/>
            </w:tcBorders>
            <w:shd w:fill="E8F5E9"/>
            <w:tcMar>
              <w:top w:type="dxa" w:w="100"/>
              <w:left w:type="dxa" w:w="140"/>
              <w:bottom w:type="dxa" w:w="100"/>
              <w:right w:type="dxa" w:w="140"/>
            </w:tcMar>
          </w:tcPr>
          <w:p>
            <w:r>
              <w:rPr>
                <w:rFonts w:ascii="Arial" w:cs="Arial" w:eastAsia="Arial" w:hAnsi="Arial"/>
                <w:b/>
                <w:bCs/>
                <w:color w:val="1B5E20"/>
                <w:sz w:val="18"/>
                <w:szCs w:val="18"/>
              </w:rPr>
              <w:t xml:space="preserve">Conforme</w:t>
            </w:r>
          </w:p>
        </w:tc>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Totalmente alineado con los principios comerciales del Manual Maestro: no se fragmenta por asignatura y ofrece tarifas transparentes.</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Claridad para el cliente y sostenibilidad del modelo.</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Conectar pasarela definitiva de recaudación en producción.</w:t>
            </w:r>
          </w:p>
        </w:tc>
      </w:tr>
      <w:tr>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bCs/>
                <w:color w:val="1C3257"/>
                <w:sz w:val="18"/>
                <w:szCs w:val="18"/>
              </w:rPr>
              <w:t xml:space="preserve">28. Control de calidad y validación con familias</w:t>
            </w:r>
          </w:p>
        </w:tc>
        <w:tc>
          <w:tcPr>
            <w:tcW w:type="pct" w:w="2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Flujo de revisión, pautas de validación presencial, registro de hallazgos con familias reales y ajuste derivado de la evidencia.</w:t>
            </w:r>
          </w:p>
        </w:tc>
        <w:tc>
          <w:tcPr>
            <w:tcW w:type="pct" w:w="18%"/>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Repositorio local y bitácoras en memoria/ (auditorías de software y pedagógicas internas, pero sin registros de pruebas de campo con familias).</w:t>
            </w:r>
          </w:p>
        </w:tc>
        <w:tc>
          <w:tcPr>
            <w:tcW w:type="pct" w:w="12%"/>
            <w:tcBorders>
              <w:top w:val="single" w:color="D1D5DB" w:sz="4"/>
              <w:left w:val="single" w:color="D1D5DB" w:sz="4"/>
              <w:bottom w:val="single" w:color="D1D5DB" w:sz="4"/>
              <w:right w:val="single" w:color="D1D5DB" w:sz="4"/>
            </w:tcBorders>
            <w:shd w:fill="E2E8F0"/>
            <w:tcMar>
              <w:top w:type="dxa" w:w="100"/>
              <w:left w:type="dxa" w:w="140"/>
              <w:bottom w:type="dxa" w:w="100"/>
              <w:right w:type="dxa" w:w="140"/>
            </w:tcMar>
          </w:tcPr>
          <w:p>
            <w:r>
              <w:rPr>
                <w:rFonts w:ascii="Arial" w:cs="Arial" w:eastAsia="Arial" w:hAnsi="Arial"/>
                <w:b/>
                <w:bCs/>
                <w:color w:val="475569"/>
                <w:sz w:val="18"/>
                <w:szCs w:val="18"/>
              </w:rPr>
              <w:t xml:space="preserve">Sin evidencia suficiente</w:t>
            </w:r>
          </w:p>
        </w:tc>
        <w:tc>
          <w:tcPr>
            <w:tcW w:type="pct" w:w="15%"/>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No se encontraron en la carpeta del proyecto actas de sesiones presenciales con familias ni instrumentos de pilotaje externo.</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Incertidumbre sobre la recepción empírica del prototipo en hogares reales.</w:t>
            </w:r>
          </w:p>
        </w:tc>
        <w:tc>
          <w:tcPr>
            <w:tcW w:type="pct" w:w="10%"/>
            <w:tcBorders>
              <w:top w:val="single" w:color="D1D5DB" w:sz="4"/>
              <w:left w:val="single" w:color="D1D5DB" w:sz="4"/>
              <w:bottom w:val="single" w:color="D1D5DB" w:sz="4"/>
              <w:right w:val="single" w:color="D1D5DB" w:sz="4"/>
            </w:tcBorders>
            <w:shd w:fill="FFFFFF"/>
            <w:tcMar>
              <w:top w:type="dxa" w:w="100"/>
              <w:left w:type="dxa" w:w="140"/>
              <w:bottom w:type="dxa" w:w="100"/>
              <w:right w:type="dxa" w:w="140"/>
            </w:tcMar>
          </w:tcPr>
          <w:p>
            <w:r>
              <w:rPr>
                <w:rFonts w:ascii="Arial" w:cs="Arial" w:eastAsia="Arial" w:hAnsi="Arial"/>
                <w:b w:val="false"/>
                <w:bCs w:val="false"/>
                <w:color w:val="1E293B"/>
                <w:sz w:val="18"/>
                <w:szCs w:val="18"/>
              </w:rPr>
              <w:t xml:space="preserve">Diseñar y ejecutar el plan formal de validación piloto con familias homeschoolers y registrar los resultados en el sistema documental.</w:t>
            </w:r>
          </w:p>
        </w:tc>
      </w:tr>
    </w:tbl>
    <w:p>
      <w:pPr>
        <w:pStyle w:val="Heading1"/>
        <w:spacing w:after="150" w:before="300"/>
      </w:pPr>
      <w:r>
        <w:rPr>
          <w:rFonts w:ascii="Arial Rounded MT Bold" w:cs="Arial Rounded MT Bold" w:eastAsia="Arial Rounded MT Bold" w:hAnsi="Arial Rounded MT Bold"/>
          <w:b/>
          <w:bCs/>
          <w:color w:val="1C3257"/>
          <w:sz w:val="26"/>
          <w:szCs w:val="26"/>
        </w:rPr>
        <w:t xml:space="preserve">5. Estado de la Producción Académica</w:t>
      </w:r>
    </w:p>
    <w:p>
      <w:pPr>
        <w:spacing w:after="100"/>
      </w:pPr>
      <w:r>
        <w:t xml:space="preserve">La producción académica terminada con paridad total al estándar de diseño pedagógico y audiovisual se desglosa de la siguiente manera:</w:t>
      </w:r>
    </w:p>
    <w:p>
      <w:pPr>
        <w:spacing w:after="100"/>
      </w:pPr>
      <w:r>
        <w:rPr>
          <w:b/>
          <w:bCs/>
        </w:rPr>
        <w:t xml:space="preserve">1. 7° Básico · Matemática (110-7-MAT-OA01): </w:t>
      </w:r>
      <w:r>
        <w:t xml:space="preserve">6 clases canónicas finalizadas. Plan Maestro oficial exportado en DOCX (80.190 bytes). Contiene modelamiento CPA, recta numérica, valor absoluto, suma y resta en Z, y problemas cotidianos. 14 diapositivas por clase.</w:t>
      </w:r>
    </w:p>
    <w:p>
      <w:pPr>
        <w:spacing w:after="100"/>
      </w:pPr>
      <w:r>
        <w:rPr>
          <w:b/>
          <w:bCs/>
        </w:rPr>
        <w:t xml:space="preserve">2. 7° Básico · Lengua y Literatura (110-7-LEN-OA03): </w:t>
      </w:r>
      <w:r>
        <w:t xml:space="preserve">6 clases canónicas finalizadas. Plan Maestro oficial exportado en DOCX (67.910 bytes). Contiene el Viaje del Héroe, personajes, narrador, tiempo narrativo y visión de mundo. 14 diapositivas por clase.</w:t>
      </w:r>
    </w:p>
    <w:p>
      <w:pPr>
        <w:spacing w:after="100"/>
      </w:pPr>
      <w:r>
        <w:rPr>
          <w:b/>
          <w:bCs/>
        </w:rPr>
        <w:t xml:space="preserve">3. 7° Básico · Ciencias Naturales (110-7-CIE-OA01): </w:t>
      </w:r>
      <w:r>
        <w:t xml:space="preserve">6 clases canónicas finalizadas. Plan Maestro oficial exportado en DOCX (66.987 bytes). Contiene dimensiones de la sexualidad humana, pubertad, afectividad y toma de decisiones. 14 diapositivas por clase.</w:t>
      </w:r>
    </w:p>
    <w:p>
      <w:pPr>
        <w:spacing w:after="100"/>
      </w:pPr>
      <w:r>
        <w:rPr>
          <w:b/>
          <w:bCs/>
        </w:rPr>
        <w:t xml:space="preserve">4. 7° Básico · Historia, Geografía y Ciencias Sociales (110-7-HIS-OA02): </w:t>
      </w:r>
      <w:r>
        <w:t xml:space="preserve">5 clases canónicas finalizadas. Plan Maestro oficial exportado en DOCX (59.282 bytes). Contiene fin del nomadismo, domesticación, aldeas sedentarias y Revolución Neolítica. 14 diapositivas por clase.</w:t>
      </w:r>
    </w:p>
    <w:p>
      <w:pPr>
        <w:spacing w:after="100"/>
      </w:pPr>
      <w:r>
        <w:rPr>
          <w:b/>
          <w:bCs/>
        </w:rPr>
        <w:t xml:space="preserve">5. 7° Básico · Inglés EFL (110-7-ING-OA09): </w:t>
      </w:r>
      <w:r>
        <w:t xml:space="preserve">6 clases canónicas finalizadas. Plan Maestro oficial exportado en DOCX (66.932 bytes). Contiene Setting and Characters, Past Simple, Time Connectors, Dialogue and Conflict. 14 diapositivas por clase.</w:t>
      </w:r>
    </w:p>
    <w:p>
      <w:pPr>
        <w:spacing w:after="200"/>
      </w:pPr>
      <w:r>
        <w:rPr>
          <w:b/>
          <w:bCs/>
        </w:rPr>
        <w:t xml:space="preserve">6. Niveles 3°, 4°, 5°, 6° y 8° Básico: </w:t>
      </w:r>
      <w:r>
        <w:t xml:space="preserve">Matriz curricular de OAs importada en base de datos. Producción de lecciones detalladas en estado "Pendiente de implementación".</w:t>
      </w:r>
    </w:p>
    <w:p>
      <w:pPr>
        <w:pStyle w:val="Heading1"/>
        <w:spacing w:after="150" w:before="300"/>
      </w:pPr>
      <w:r>
        <w:rPr>
          <w:rFonts w:ascii="Arial Rounded MT Bold" w:cs="Arial Rounded MT Bold" w:eastAsia="Arial Rounded MT Bold" w:hAnsi="Arial Rounded MT Bold"/>
          <w:b/>
          <w:bCs/>
          <w:color w:val="1C3257"/>
          <w:sz w:val="26"/>
          <w:szCs w:val="26"/>
        </w:rPr>
        <w:t xml:space="preserve">6. Estado del Prototipo</w:t>
      </w:r>
    </w:p>
    <w:p>
      <w:pPr>
        <w:spacing w:after="100"/>
      </w:pPr>
      <w:r>
        <w:rPr>
          <w:b/>
          <w:bCs/>
        </w:rPr>
        <w:t xml:space="preserve">• Funciones plenamente implementadas: </w:t>
      </w:r>
      <w:r>
        <w:t xml:space="preserve">Aula interactiva dual sincronizada con control de pausas, reproductor de video con respaldo y soporte de iframes, miniquiz interactivo con ruta de recuperación formativa, editor de lecciones con persistencia local y exportación a DOCX y JSON, Landing Page con catálogo de cursos, y flujo de checkout con RUN.</w:t>
      </w:r>
    </w:p>
    <w:p>
      <w:pPr>
        <w:spacing w:after="100"/>
      </w:pPr>
      <w:r>
        <w:rPr>
          <w:b/>
          <w:bCs/>
        </w:rPr>
        <w:t xml:space="preserve">• Funciones parciales: </w:t>
      </w:r>
      <w:r>
        <w:t xml:space="preserve">Persistencia remota de progreso de sesión en Neon PostgreSQL (actualmente almacenada en localStorage del navegador); gestión de múltiples estudiantes por familia.</w:t>
      </w:r>
    </w:p>
    <w:p>
      <w:pPr>
        <w:spacing w:after="200"/>
      </w:pPr>
      <w:r>
        <w:rPr>
          <w:b/>
          <w:bCs/>
        </w:rPr>
        <w:t xml:space="preserve">• Incidencias resueltas: </w:t>
      </w:r>
      <w:r>
        <w:t xml:space="preserve">Se subsanó el bloqueo por error 404 en video de gancho, se blindaron los reproductores ante fallos de red y se eliminaron pantallas negras en caso de corte audiovisual.</w:t>
      </w:r>
    </w:p>
    <w:p>
      <w:pPr>
        <w:pStyle w:val="Heading1"/>
        <w:spacing w:after="150" w:before="300"/>
      </w:pPr>
      <w:r>
        <w:rPr>
          <w:rFonts w:ascii="Arial Rounded MT Bold" w:cs="Arial Rounded MT Bold" w:eastAsia="Arial Rounded MT Bold" w:hAnsi="Arial Rounded MT Bold"/>
          <w:b/>
          <w:bCs/>
          <w:color w:val="1C3257"/>
          <w:sz w:val="26"/>
          <w:szCs w:val="26"/>
        </w:rPr>
        <w:t xml:space="preserve">7. Estado de la Validación</w:t>
      </w:r>
    </w:p>
    <w:p>
      <w:pPr>
        <w:spacing w:after="100"/>
      </w:pPr>
      <w:r>
        <w:t xml:space="preserve">En el repositorio y los archivos entregados no se evidencian registros de sesiones de validación realizadas con familias o estudiantes externos en condiciones reales de hogar. Las pruebas existentes corresponden a validaciones de laboratorio, pruebas técnicas automatizadas de compilación TypeScript y auditorías pedagógicas internas de consistencia curricular.</w:t>
      </w:r>
    </w:p>
    <w:p>
      <w:pPr>
        <w:spacing w:after="200"/>
      </w:pPr>
      <w:r>
        <w:rPr>
          <w:b/>
          <w:bCs/>
        </w:rPr>
        <w:t xml:space="preserve">Conclusión de validación: </w:t>
      </w:r>
      <w:r>
        <w:t xml:space="preserve">Se clasifica como "Sin evidencia suficiente". Se requiere programar formalmente el ciclo de pruebas piloto con un grupo focal de familias antes del lanzamiento comercial.</w:t>
      </w:r>
    </w:p>
    <w:p>
      <w:pPr>
        <w:pStyle w:val="Heading1"/>
        <w:spacing w:after="150" w:before="300"/>
      </w:pPr>
      <w:r>
        <w:rPr>
          <w:rFonts w:ascii="Arial Rounded MT Bold" w:cs="Arial Rounded MT Bold" w:eastAsia="Arial Rounded MT Bold" w:hAnsi="Arial Rounded MT Bold"/>
          <w:b/>
          <w:bCs/>
          <w:color w:val="1C3257"/>
          <w:sz w:val="26"/>
          <w:szCs w:val="26"/>
        </w:rPr>
        <w:t xml:space="preserve">8. Conflictos que Requieren Decisión Conjunta</w:t>
      </w:r>
    </w:p>
    <w:p>
      <w:pPr>
        <w:spacing w:after="100"/>
      </w:pPr>
      <w:r>
        <w:rPr>
          <w:b/>
          <w:bCs/>
        </w:rPr>
        <w:t xml:space="preserve">1. Armonización Tipográfica: </w:t>
      </w:r>
      <w:r>
        <w:t xml:space="preserve">Decidir si la App Web debe restringirse estrictamente a Arial nativo o si se formaliza como excepción el uso de Nunito/Inter en pantalla digital por razones de legibilidad y diseño contemporáneo.</w:t>
      </w:r>
    </w:p>
    <w:p>
      <w:pPr>
        <w:spacing w:after="100"/>
      </w:pPr>
      <w:r>
        <w:rPr>
          <w:b/>
          <w:bCs/>
        </w:rPr>
        <w:t xml:space="preserve">2. Delimitación del Pipeline DOCX vs PPTX: </w:t>
      </w:r>
      <w:r>
        <w:t xml:space="preserve">Ratificar la directiva arquitectónica que delega la generación de presentaciones PPTX exclusivamente a ChatGPT Work a partir de los documentos DOCX producidos por Antigravity, preservando el rol estricto del agente de desarrollo.</w:t>
      </w:r>
    </w:p>
    <w:p>
      <w:pPr>
        <w:spacing w:after="200"/>
      </w:pPr>
      <w:r>
        <w:rPr>
          <w:b/>
          <w:bCs/>
        </w:rPr>
        <w:t xml:space="preserve">3. Priorización del Calendario de Cobertura: </w:t>
      </w:r>
      <w:r>
        <w:t xml:space="preserve">Definir si tras consolidar 7° Básico se continuará con 8° Básico (completando el ciclo de enseñanza básica superior) o si se avanzará verticalmente en Matemática para todos los niveles de 3° a 8°.</w:t>
      </w:r>
    </w:p>
    <w:p>
      <w:pPr>
        <w:pStyle w:val="Heading1"/>
        <w:spacing w:after="150" w:before="300"/>
      </w:pPr>
      <w:r>
        <w:rPr>
          <w:rFonts w:ascii="Arial Rounded MT Bold" w:cs="Arial Rounded MT Bold" w:eastAsia="Arial Rounded MT Bold" w:hAnsi="Arial Rounded MT Bold"/>
          <w:b/>
          <w:bCs/>
          <w:color w:val="1C3257"/>
          <w:sz w:val="26"/>
          <w:szCs w:val="26"/>
        </w:rPr>
        <w:t xml:space="preserve">9. Información y Documentos Faltantes</w:t>
      </w:r>
    </w:p>
    <w:p>
      <w:pPr>
        <w:spacing w:after="100"/>
      </w:pPr>
      <w:r>
        <w:t xml:space="preserve">1. Protocolo y pauta de observación para pruebas con familias reales.</w:t>
      </w:r>
    </w:p>
    <w:p>
      <w:pPr>
        <w:spacing w:after="100"/>
      </w:pPr>
      <w:r>
        <w:t xml:space="preserve">2. Banco psicométrico formal de ítems para ensayos globales de Exámenes Libres en 3° a 8° básico.</w:t>
      </w:r>
    </w:p>
    <w:p>
      <w:pPr>
        <w:spacing w:after="200"/>
      </w:pPr>
      <w:r>
        <w:t xml:space="preserve">3. Plan Maestro de Ejecución actualizado con cronograma y responsables por entregable.</w:t>
      </w:r>
    </w:p>
    <w:p>
      <w:pPr>
        <w:pStyle w:val="Heading1"/>
        <w:spacing w:after="150" w:before="300"/>
      </w:pPr>
      <w:r>
        <w:rPr>
          <w:rFonts w:ascii="Arial Rounded MT Bold" w:cs="Arial Rounded MT Bold" w:eastAsia="Arial Rounded MT Bold" w:hAnsi="Arial Rounded MT Bold"/>
          <w:b/>
          <w:bCs/>
          <w:color w:val="1C3257"/>
          <w:sz w:val="26"/>
          <w:szCs w:val="26"/>
        </w:rPr>
        <w:t xml:space="preserve">10. Anexo de Fuentes</w:t>
      </w:r>
    </w:p>
    <w:p>
      <w:pPr>
        <w:spacing w:after="100"/>
      </w:pPr>
      <w:r>
        <w:rPr>
          <w:b/>
          <w:bCs/>
        </w:rPr>
        <w:t xml:space="preserve">• Manual Maestro de EstudioSimple (Versión 2.0 · 1 de octubre de 2026): </w:t>
      </w:r>
      <w:r>
        <w:t xml:space="preserve">D:\StudioSimple - Antigravity\MANUAL MAESTRO\Manual Maestro.docx</w:t>
      </w:r>
    </w:p>
    <w:p>
      <w:pPr>
        <w:spacing w:after="100"/>
      </w:pPr>
      <w:r>
        <w:rPr>
          <w:b/>
          <w:bCs/>
        </w:rPr>
        <w:t xml:space="preserve">• Instrucciones de análisis (1 de octubre de 2026): </w:t>
      </w:r>
      <w:r>
        <w:t xml:space="preserve">D:\StudioSimple - Antigravity\MANUAL MAESTRO\Instrucciones_analisis_Manual_Maestro_y_avance_EstudioSimple.docx</w:t>
      </w:r>
    </w:p>
    <w:p>
      <w:pPr>
        <w:spacing w:after="100"/>
      </w:pPr>
      <w:r>
        <w:rPr>
          <w:b/>
          <w:bCs/>
        </w:rPr>
        <w:t xml:space="preserve">• Código fuente de la aplicación web: </w:t>
      </w:r>
      <w:r>
        <w:t xml:space="preserve">d:\StudioSimple - Antigravity\Web Studio Simple\src\</w:t>
      </w:r>
    </w:p>
    <w:p>
      <w:pPr>
        <w:spacing w:after="100"/>
      </w:pPr>
      <w:r>
        <w:rPr>
          <w:b/>
          <w:bCs/>
        </w:rPr>
        <w:t xml:space="preserve">• Catálogo y lecciones sincronizadas: </w:t>
      </w:r>
      <w:r>
        <w:t xml:space="preserve">Web Studio Simple\public\data\injected_lessons_7b.json</w:t>
      </w:r>
    </w:p>
    <w:p>
      <w:pPr>
        <w:spacing w:after="100"/>
      </w:pPr>
      <w:r>
        <w:rPr>
          <w:b/>
          <w:bCs/>
        </w:rPr>
        <w:t xml:space="preserve">• Paquetes Maestros DOCX oficiales: </w:t>
      </w:r>
      <w:r>
        <w:t xml:space="preserve">PLANES MAESTROS PRESENTACIONES\Paquete_Maestro_EstudioSimple_7B\04_PLANES_OA_Y_PROMPTS\</w:t>
      </w:r>
    </w:p>
    <w:p>
      <w:pPr>
        <w:spacing w:after="100"/>
      </w:pPr>
      <w:r>
        <w:rPr>
          <w:b/>
          <w:bCs/>
        </w:rPr>
        <w:t xml:space="preserve">• Repositorio de memorias y bitácoras técnicas: </w:t>
      </w:r>
      <w:r>
        <w:t xml:space="preserve">d:\StudioSimple - Antigravity\memoria\ (172 bitácoras analizadas)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Página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de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EstudioSimple · Informe de Contraste con Manual Maestro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2026-10-01T20:49:26.554Z</dcterms:created>
  <dcterms:modified xsi:type="dcterms:W3CDTF">2026-10-01T20:49:26.555Z</dcterms:modified>
</cp:coreProperties>
</file>

<file path=docProps/custom.xml><?xml version="1.0" encoding="utf-8"?>
<Properties xmlns="http://schemas.openxmlformats.org/officeDocument/2006/custom-properties" xmlns:vt="http://schemas.openxmlformats.org/officeDocument/2006/docPropsVTypes"/>
</file>