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rial" w:hAnsi="Arial"/>
          <w:b/>
          <w:color w:val="12A1A4"/>
          <w:sz w:val="19"/>
        </w:rPr>
        <w:t>ESTUDIOSIMPLE · ARQUITECTURA PEDAGÓGICA Y DE SOFTWARE</w:t>
        <w:br/>
      </w:r>
      <w:r>
        <w:rPr>
          <w:rFonts w:ascii="Arial" w:hAnsi="Arial"/>
          <w:b/>
          <w:color w:val="1C3257"/>
          <w:sz w:val="36"/>
        </w:rPr>
        <w:t>Estandarización y Nomenclatura Genérica del Motor de 8 Etapas</w:t>
      </w:r>
    </w:p>
    <w:p>
      <w:pPr>
        <w:spacing w:after="280"/>
      </w:pPr>
      <w:r>
        <w:rPr>
          <w:rFonts w:ascii="Arial" w:hAnsi="Arial"/>
          <w:i/>
          <w:color w:val="647387"/>
          <w:sz w:val="22"/>
        </w:rPr>
        <w:t>Desacoplamiento entre la capa de motor y la capa de contenidos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1C3257"/>
          <w:sz w:val="26"/>
        </w:rPr>
        <w:t>1. Resumen Ejecutivo</w:t>
      </w:r>
    </w:p>
    <w:p>
      <w:pPr>
        <w:spacing w:after="160" w:line="276" w:lineRule="auto"/>
      </w:pPr>
      <w:r>
        <w:rPr>
          <w:rFonts w:ascii="Arial" w:hAnsi="Arial"/>
          <w:color w:val="283241"/>
          <w:sz w:val="20"/>
        </w:rPr>
        <w:t>En el prototipo final analizado (https://estudiosimple-clase1-oa1.carla-orellana.chatgpt.site), la barra de navegación del apoderado y el indicador de avance del estudiante estructuran la lección en 8 etapas. Sin embargo, las etapas 3 y 4 fueron rotuladas con nombres específicos del contenido de la Clase 1 de 7° Básico:</w:t>
      </w:r>
    </w:p>
    <w:p>
      <w:pPr>
        <w:pStyle w:val="ListBullet"/>
        <w:spacing w:after="60"/>
      </w:pPr>
      <w:r>
        <w:rPr>
          <w:rFonts w:ascii="Arial" w:hAnsi="Arial"/>
          <w:color w:val="283241"/>
          <w:sz w:val="20"/>
        </w:rPr>
        <w:t>Etapa 3: Rotulada como 'Recorrido' (alusión a la narrativa del submarino).</w:t>
      </w:r>
    </w:p>
    <w:p>
      <w:pPr>
        <w:pStyle w:val="ListBullet"/>
        <w:spacing w:after="160"/>
      </w:pPr>
      <w:r>
        <w:rPr>
          <w:rFonts w:ascii="Arial" w:hAnsi="Arial"/>
          <w:color w:val="283241"/>
          <w:sz w:val="20"/>
        </w:rPr>
        <w:t>Etapa 4: Rotulada como 'Posición y movimiento' (concepto temático específico del OA1).</w:t>
      </w:r>
    </w:p>
    <w:p>
      <w:pPr>
        <w:spacing w:after="240"/>
      </w:pPr>
      <w:r>
        <w:rPr>
          <w:rFonts w:ascii="Arial" w:hAnsi="Arial"/>
          <w:color w:val="283241"/>
          <w:sz w:val="20"/>
        </w:rPr>
        <w:t>Este documento formaliza el diagnóstico del desacoplamiento requerido, describe la función pedagógica universal de cada etapa y propone opciones de nomenclatura genérica para asegurar que el motor sea reutilizable en todas las lecciones del currículum.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1C3257"/>
          <w:sz w:val="26"/>
        </w:rPr>
        <w:t>2. Diagnóstico: Acoplamiento de Contenido vs. Motor</w:t>
      </w:r>
    </w:p>
    <w:p>
      <w:pPr>
        <w:spacing w:after="160"/>
      </w:pPr>
      <w:r>
        <w:rPr>
          <w:rFonts w:ascii="Arial" w:hAnsi="Arial"/>
          <w:color w:val="283241"/>
          <w:sz w:val="20"/>
        </w:rPr>
        <w:t>El diseño de una plataforma modular escalable exige una separación estricta entre dos capas: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C32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Capa</w:t>
            </w:r>
          </w:p>
        </w:tc>
        <w:tc>
          <w:tcPr>
            <w:tcW w:type="dxa" w:w="3744"/>
            <w:shd w:fill="1C32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Responsabilidad Principal</w:t>
            </w:r>
          </w:p>
        </w:tc>
        <w:tc>
          <w:tcPr>
            <w:tcW w:type="dxa" w:w="3456"/>
            <w:shd w:fill="1C32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Ejemplos de Elementos</w:t>
            </w:r>
          </w:p>
        </w:tc>
      </w:tr>
      <w:tr>
        <w:tc>
          <w:tcPr>
            <w:tcW w:type="dxa" w:w="2160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8"/>
              </w:rPr>
              <w:t>Capa de Motor (Engine)</w:t>
            </w:r>
          </w:p>
        </w:tc>
        <w:tc>
          <w:tcPr>
            <w:tcW w:type="dxa" w:w="3744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8"/>
              </w:rPr>
              <w:t>Estructura universal, navegación, sincronización de estados, lógica de evaluación y telemetría.</w:t>
            </w:r>
          </w:p>
        </w:tc>
        <w:tc>
          <w:tcPr>
            <w:tcW w:type="dxa" w:w="3456"/>
            <w:shd w:fill="F5F7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8"/>
              </w:rPr>
              <w:t>AdultSidebar, LessonProgress, BroadcastSync, 8 etapas inmutables.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8"/>
              </w:rPr>
              <w:t>Capa de Contenido (Data)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8"/>
              </w:rPr>
              <w:t>Temas específicos de cada lección, guiones H.O.O.K., preguntas socráticas, videos e imágenes.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8"/>
              </w:rPr>
              <w:t>Preguntas del submarino, datos de temperatura, opciones del miniquiz.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hAnsi="Arial"/>
          <w:b/>
          <w:color w:val="1C3257"/>
          <w:sz w:val="20"/>
        </w:rPr>
        <w:t>Riesgos de mantener nombres específicos en las etapas del motor:</w:t>
      </w:r>
    </w:p>
    <w:p>
      <w:pPr>
        <w:pStyle w:val="ListBullet"/>
        <w:spacing w:after="60"/>
      </w:pPr>
      <w:r>
        <w:rPr>
          <w:rFonts w:ascii="Arial" w:hAnsi="Arial"/>
          <w:b/>
          <w:color w:val="283241"/>
          <w:sz w:val="19"/>
        </w:rPr>
        <w:t xml:space="preserve">Falta de Escalabilidad: </w:t>
      </w:r>
      <w:r>
        <w:rPr>
          <w:rFonts w:ascii="Arial" w:hAnsi="Arial"/>
          <w:color w:val="283241"/>
          <w:sz w:val="19"/>
        </w:rPr>
        <w:t>Cada una de las 114 clases requeriría redefinir etiquetas de UI en componentes de navegación, generando acoplamiento innecesario.</w:t>
      </w:r>
    </w:p>
    <w:p>
      <w:pPr>
        <w:pStyle w:val="ListBullet"/>
        <w:spacing w:after="60"/>
      </w:pPr>
      <w:r>
        <w:rPr>
          <w:rFonts w:ascii="Arial" w:hAnsi="Arial"/>
          <w:b/>
          <w:color w:val="283241"/>
          <w:sz w:val="19"/>
        </w:rPr>
        <w:t xml:space="preserve">Sobrecarga Cognitiva: </w:t>
      </w:r>
      <w:r>
        <w:rPr>
          <w:rFonts w:ascii="Arial" w:hAnsi="Arial"/>
          <w:color w:val="283241"/>
          <w:sz w:val="19"/>
        </w:rPr>
        <w:t>El apoderado necesita previsibilidad. Si en cada clase cambian las etapas, debe reaprender el flujo. Con nombres genéricos sabe siempre qué rol le toca ejercer.</w:t>
      </w:r>
    </w:p>
    <w:p>
      <w:pPr>
        <w:pStyle w:val="ListBullet"/>
        <w:spacing w:after="60"/>
      </w:pPr>
      <w:r>
        <w:rPr>
          <w:rFonts w:ascii="Arial" w:hAnsi="Arial"/>
          <w:b/>
          <w:color w:val="283241"/>
          <w:sz w:val="19"/>
        </w:rPr>
        <w:t xml:space="preserve">Pérdida de Identidad Funcional: </w:t>
      </w:r>
      <w:r>
        <w:rPr>
          <w:rFonts w:ascii="Arial" w:hAnsi="Arial"/>
          <w:color w:val="283241"/>
          <w:sz w:val="19"/>
        </w:rPr>
        <w:t>La etapa 3 no existe para hablar de un 'recorrido', sino para realizar un diálogo socrático de indagación. La etapa 4 no existe para hablar de 'posición', sino para formalizar la regla conceptual.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C3257"/>
          <w:sz w:val="26"/>
        </w:rPr>
        <w:t>3. Función Pedagógica de las 8 Etapas Universales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fill="1C325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2304"/>
            <w:shd w:fill="1C325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Etapa Prototipo V3</w:t>
            </w:r>
          </w:p>
        </w:tc>
        <w:tc>
          <w:tcPr>
            <w:tcW w:type="dxa" w:w="3600"/>
            <w:shd w:fill="1C325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Función Pedagógica Real (EstudioSimple)</w:t>
            </w:r>
          </w:p>
        </w:tc>
        <w:tc>
          <w:tcPr>
            <w:tcW w:type="dxa" w:w="2880"/>
            <w:shd w:fill="1C325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 del Apoderado / Sistema</w:t>
            </w:r>
          </w:p>
        </w:tc>
      </w:tr>
      <w:tr>
        <w:tc>
          <w:tcPr>
            <w:tcW w:type="dxa" w:w="576"/>
            <w:shd w:fill="F5F7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83241"/>
                <w:sz w:val="17"/>
              </w:rPr>
              <w:t>1</w:t>
            </w:r>
          </w:p>
        </w:tc>
        <w:tc>
          <w:tcPr>
            <w:tcW w:type="dxa" w:w="2304"/>
            <w:shd w:fill="F5F7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7"/>
              </w:rPr>
              <w:t>Inicio</w:t>
            </w:r>
          </w:p>
        </w:tc>
        <w:tc>
          <w:tcPr>
            <w:tcW w:type="dxa" w:w="3600"/>
            <w:shd w:fill="F5F7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7"/>
              </w:rPr>
              <w:t>Encuadre curricular, conexión inicial con la vida cotidiana y preparación del apoderado.</w:t>
            </w:r>
          </w:p>
        </w:tc>
        <w:tc>
          <w:tcPr>
            <w:tcW w:type="dxa" w:w="2880"/>
            <w:shd w:fill="F5F7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7"/>
              </w:rPr>
              <w:t>Establecer objetivo y revisar ruta.</w:t>
            </w:r>
          </w:p>
        </w:tc>
      </w:tr>
      <w:tr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83241"/>
                <w:sz w:val="17"/>
              </w:rPr>
              <w:t>2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7"/>
              </w:rPr>
              <w:t>Video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7"/>
              </w:rPr>
              <w:t>Activación de curiosidad mediante narrativa audiovisual inicial (Gancho).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7"/>
              </w:rPr>
              <w:t>Reproducir y sincronizar video inicial.</w:t>
            </w:r>
          </w:p>
        </w:tc>
      </w:tr>
      <w:tr>
        <w:tc>
          <w:tcPr>
            <w:tcW w:type="dxa" w:w="576"/>
            <w:shd w:fill="FFF4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83241"/>
                <w:sz w:val="17"/>
              </w:rPr>
              <w:t>3</w:t>
            </w:r>
          </w:p>
        </w:tc>
        <w:tc>
          <w:tcPr>
            <w:tcW w:type="dxa" w:w="2304"/>
            <w:shd w:fill="FFF4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BE500A"/>
                <w:sz w:val="17"/>
              </w:rPr>
              <w:t>Recorrido</w:t>
              <w:br/>
              <w:t>(Específico)</w:t>
            </w:r>
          </w:p>
        </w:tc>
        <w:tc>
          <w:tcPr>
            <w:tcW w:type="dxa" w:w="3600"/>
            <w:shd w:fill="FFF4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7"/>
              </w:rPr>
              <w:t>Diálogo e Indagación: Preguntas socráticas sobre lo observado antes de dar la regla formal.</w:t>
            </w:r>
          </w:p>
        </w:tc>
        <w:tc>
          <w:tcPr>
            <w:tcW w:type="dxa" w:w="2880"/>
            <w:shd w:fill="FFF4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7"/>
              </w:rPr>
              <w:t>Preguntar, escuchar y dar pistas.</w:t>
            </w:r>
          </w:p>
        </w:tc>
      </w:tr>
      <w:tr>
        <w:tc>
          <w:tcPr>
            <w:tcW w:type="dxa" w:w="576"/>
            <w:shd w:fill="FFF4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83241"/>
                <w:sz w:val="17"/>
              </w:rPr>
              <w:t>4</w:t>
            </w:r>
          </w:p>
        </w:tc>
        <w:tc>
          <w:tcPr>
            <w:tcW w:type="dxa" w:w="2304"/>
            <w:shd w:fill="FFF4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BE500A"/>
                <w:sz w:val="17"/>
              </w:rPr>
              <w:t>Posición y mov.</w:t>
              <w:br/>
              <w:t>(Específico)</w:t>
            </w:r>
          </w:p>
        </w:tc>
        <w:tc>
          <w:tcPr>
            <w:tcW w:type="dxa" w:w="3600"/>
            <w:shd w:fill="FFF4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7"/>
              </w:rPr>
              <w:t>Formalización Teórica: Explicación estructurada (segundo video/recurso) e institucionalización.</w:t>
            </w:r>
          </w:p>
        </w:tc>
        <w:tc>
          <w:tcPr>
            <w:tcW w:type="dxa" w:w="2880"/>
            <w:shd w:fill="FFF4E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7"/>
              </w:rPr>
              <w:t>Guiar concepto y verificar comprensión.</w:t>
            </w:r>
          </w:p>
        </w:tc>
      </w:tr>
      <w:tr>
        <w:tc>
          <w:tcPr>
            <w:tcW w:type="dxa" w:w="576"/>
            <w:shd w:fill="F5F7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83241"/>
                <w:sz w:val="17"/>
              </w:rPr>
              <w:t>5</w:t>
            </w:r>
          </w:p>
        </w:tc>
        <w:tc>
          <w:tcPr>
            <w:tcW w:type="dxa" w:w="2304"/>
            <w:shd w:fill="F5F7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7"/>
              </w:rPr>
              <w:t>Práctica</w:t>
            </w:r>
          </w:p>
        </w:tc>
        <w:tc>
          <w:tcPr>
            <w:tcW w:type="dxa" w:w="3600"/>
            <w:shd w:fill="F5F7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7"/>
              </w:rPr>
              <w:t>Aplicación Guiada y Razonamiento: Práctica en 3 contextos y comparación adaptativa.</w:t>
            </w:r>
          </w:p>
        </w:tc>
        <w:tc>
          <w:tcPr>
            <w:tcW w:type="dxa" w:w="2880"/>
            <w:shd w:fill="F5F7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7"/>
              </w:rPr>
              <w:t>Evaluar razonamiento y desbloquear desafío.</w:t>
            </w:r>
          </w:p>
        </w:tc>
      </w:tr>
      <w:tr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83241"/>
                <w:sz w:val="17"/>
              </w:rPr>
              <w:t>6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7"/>
              </w:rPr>
              <w:t>Resumen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7"/>
              </w:rPr>
              <w:t>Estrategia y Síntesis: Modelo mental de 3 pasos y revelación progresiva de ideas clave.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7"/>
              </w:rPr>
              <w:t>Consolidar las 3 ideas principales.</w:t>
            </w:r>
          </w:p>
        </w:tc>
      </w:tr>
      <w:tr>
        <w:tc>
          <w:tcPr>
            <w:tcW w:type="dxa" w:w="576"/>
            <w:shd w:fill="F5F7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83241"/>
                <w:sz w:val="17"/>
              </w:rPr>
              <w:t>7</w:t>
            </w:r>
          </w:p>
        </w:tc>
        <w:tc>
          <w:tcPr>
            <w:tcW w:type="dxa" w:w="2304"/>
            <w:shd w:fill="F5F7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7"/>
              </w:rPr>
              <w:t>Miniquiz</w:t>
            </w:r>
          </w:p>
        </w:tc>
        <w:tc>
          <w:tcPr>
            <w:tcW w:type="dxa" w:w="3600"/>
            <w:shd w:fill="F5F7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7"/>
              </w:rPr>
              <w:t>Comprobación Autónoma y Refuerzo: Evaluación de 3 preguntas, revisión y recuperación.</w:t>
            </w:r>
          </w:p>
        </w:tc>
        <w:tc>
          <w:tcPr>
            <w:tcW w:type="dxa" w:w="2880"/>
            <w:shd w:fill="F5F7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7"/>
              </w:rPr>
              <w:t>Monitorear y facilitar refuerzo.</w:t>
            </w:r>
          </w:p>
        </w:tc>
      </w:tr>
      <w:tr>
        <w:tc>
          <w:tcPr>
            <w:tcW w:type="dxa" w:w="57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83241"/>
                <w:sz w:val="17"/>
              </w:rPr>
              <w:t>8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7"/>
              </w:rPr>
              <w:t>Cierre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7"/>
              </w:rPr>
              <w:t>Metacognición y Transferencia: Reflexión final, proyección a próxima clase y registro.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83241"/>
                <w:sz w:val="17"/>
              </w:rPr>
              <w:t>Cerrar sesión y registrar desempeño.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C3257"/>
          <w:sz w:val="26"/>
        </w:rPr>
        <w:t>4. Opciones de Nomenclatura Genérica</w:t>
      </w:r>
    </w:p>
    <w:p>
      <w:pPr>
        <w:spacing w:after="80"/>
      </w:pPr>
      <w:r>
        <w:rPr>
          <w:rFonts w:ascii="Arial" w:hAnsi="Arial"/>
          <w:b/>
          <w:color w:val="12A1A4"/>
          <w:sz w:val="21"/>
        </w:rPr>
        <w:t>Opción A: Orientada a la Experiencia del Usuario (Recomendada)</w:t>
      </w:r>
    </w:p>
    <w:p>
      <w:pPr>
        <w:spacing w:after="120"/>
      </w:pPr>
      <w:r>
        <w:rPr>
          <w:rFonts w:ascii="Arial" w:hAnsi="Arial"/>
          <w:color w:val="283241"/>
          <w:sz w:val="19"/>
        </w:rPr>
        <w:t>Utiliza términos directos orientados a la acción que realizan el apoderado y el estudiante:</w:t>
      </w:r>
    </w:p>
    <w:p>
      <w:pPr>
        <w:spacing w:after="200"/>
        <w:ind w:left="288"/>
      </w:pPr>
      <w:r>
        <w:rPr>
          <w:rFonts w:ascii="Arial" w:hAnsi="Arial"/>
          <w:b/>
          <w:color w:val="1C3257"/>
          <w:sz w:val="19"/>
        </w:rPr>
        <w:t>1. Inicio  ➔  2. Video inicial (o Gancho)  ➔  3. Conversación (o Comprensión)  ➔  4. Explicación (o Concepto)  ➔  5. Práctica  ➔  6. Resumen  ➔  7. Miniquiz  ➔  8. Cierre</w:t>
      </w:r>
    </w:p>
    <w:p>
      <w:pPr>
        <w:spacing w:after="80"/>
      </w:pPr>
      <w:r>
        <w:rPr>
          <w:rFonts w:ascii="Arial" w:hAnsi="Arial"/>
          <w:b/>
          <w:color w:val="12A1A4"/>
          <w:sz w:val="21"/>
        </w:rPr>
        <w:t>Opción B: Terminología Pedagógica Formal</w:t>
      </w:r>
    </w:p>
    <w:p>
      <w:pPr>
        <w:spacing w:after="120"/>
      </w:pPr>
      <w:r>
        <w:rPr>
          <w:rFonts w:ascii="Arial" w:hAnsi="Arial"/>
          <w:color w:val="283241"/>
          <w:sz w:val="19"/>
        </w:rPr>
        <w:t>Utiliza la taxonomía didáctica curricular formal:</w:t>
      </w:r>
    </w:p>
    <w:p>
      <w:pPr>
        <w:spacing w:after="240"/>
        <w:ind w:left="288"/>
      </w:pPr>
      <w:r>
        <w:rPr>
          <w:rFonts w:ascii="Arial" w:hAnsi="Arial"/>
          <w:b/>
          <w:color w:val="1C3257"/>
          <w:sz w:val="19"/>
        </w:rPr>
        <w:t>1. Inicio  ➔  2. Contextualización  ➔  3. Indagación  ➔  4. Formalización  ➔  5. Práctica guiada  ➔  6. Síntesis  ➔  7. Evaluación  ➔  8. Cierre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C3257"/>
          <w:sz w:val="26"/>
        </w:rPr>
        <w:t>5. Implementación en Código (TypeScript)</w:t>
      </w:r>
    </w:p>
    <w:p>
      <w:pPr>
        <w:spacing w:after="240"/>
        <w:ind w:left="288"/>
      </w:pPr>
      <w:r>
        <w:rPr>
          <w:rFonts w:ascii="Consolas" w:hAnsi="Consolas"/>
          <w:color w:val="1E2D46"/>
          <w:sz w:val="17"/>
        </w:rPr>
        <w:t>// 1. Constante universal en el motor (src/types/lesson.ts):</w:t>
        <w:br/>
        <w:t>export const LESSON_STAGES = [</w:t>
        <w:br/>
        <w:t xml:space="preserve">  { step: 1, id: 'start', label: 'Inicio' },</w:t>
        <w:br/>
        <w:t xml:space="preserve">  { step: 2, id: 'hook_video', label: 'Video inicial' },</w:t>
        <w:br/>
        <w:t xml:space="preserve">  { step: 3, id: 'dialogue', label: 'Conversación' },</w:t>
        <w:br/>
        <w:t xml:space="preserve">  { step: 4, id: 'formalization', label: 'Explicación' },</w:t>
        <w:br/>
        <w:t xml:space="preserve">  { step: 5, id: 'practice', label: 'Práctica' },</w:t>
        <w:br/>
        <w:t xml:space="preserve">  { step: 6, id: 'summary', label: 'Resumen' },</w:t>
        <w:br/>
        <w:t xml:space="preserve">  { step: 7, id: 'miniquiz', label: 'Miniquiz' },</w:t>
        <w:br/>
        <w:t xml:space="preserve">  { step: 8, id: 'closing', label: 'Cierre' }</w:t>
        <w:br/>
        <w:t>] as const;</w:t>
        <w:br/>
        <w:br/>
        <w:t>// 2. Contenido inyectado desde la lección (src/data/lessons/...ts):</w:t>
        <w:br/>
        <w:t>// Cada lección provee sus propios subtítulos temáticos internos,</w:t>
        <w:br/>
        <w:t>// sin modificar los rótulos universales de las 8 etapas.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