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ESTUDIOSIMPLE · ARQUITECTURA PEDAGÓGICA Y DE PRODUCCIÓN</w:t>
      </w:r>
    </w:p>
    <w:p>
      <w:pPr>
        <w:jc w:val="center"/>
      </w:pPr>
      <w:r>
        <w:rPr>
          <w:b/>
          <w:sz w:val="32"/>
        </w:rPr>
        <w:t>PLAN MAESTRO</w:t>
        <w:br/>
        <w:t>GANCHO + LECCIÓN</w:t>
      </w:r>
    </w:p>
    <w:p>
      <w:pPr>
        <w:jc w:val="center"/>
      </w:pPr>
      <w:r>
        <w:t>Versión 1.5 · Actualización operativa 29-09-2026</w:t>
      </w:r>
    </w:p>
    <w:p>
      <w:pPr>
        <w:jc w:val="center"/>
      </w:pPr>
      <w:r>
        <w:t>Documento unificado para diseñar, producir, revisar, aprobar y entregar las dos primeras fases de cada Objetivo de Aprendizaje (OA).</w:t>
      </w:r>
    </w:p>
    <w:p/>
    <w:p>
      <w:pPr>
        <w:pStyle w:val="Heading1"/>
      </w:pPr>
      <w:r>
        <w:t>1 · PROPÓSITO</w:t>
      </w:r>
    </w:p>
    <w:p>
      <w:pPr>
        <w:pStyle w:val="Heading2"/>
      </w:pPr>
      <w:r>
        <w:t>1. Propósito del Plan Maestro Unificado</w:t>
      </w:r>
    </w:p>
    <w:p>
      <w:r>
        <w:t>Este documento reemplaza el uso operativo separado de los planes de Gancho y Lección. Su función es asegurar que cada OA se diseñe como una secuencia didáctica coherente, visualmente consistente y técnicamente entregable, desde la apertura narrativa hasta la lección completa y lista para producción audiovisual.</w:t>
      </w:r>
    </w:p>
    <w:p>
      <w:pPr>
        <w:pStyle w:val="ListBullet"/>
        <w:numPr>
          <w:ilvl w:val="0"/>
          <w:numId w:val="1"/>
        </w:numPr>
      </w:pPr>
      <w:r>
        <w:t>Este Plan Maestro gobierna Gancho + Lección.</w:t>
      </w:r>
    </w:p>
    <w:p>
      <w:pPr>
        <w:pStyle w:val="ListBullet"/>
        <w:numPr>
          <w:ilvl w:val="0"/>
          <w:numId w:val="1"/>
        </w:numPr>
      </w:pPr>
      <w:r>
        <w:t>La salida de la Lección debe quedar preparada para enlazar con el Juego.</w:t>
      </w:r>
    </w:p>
    <w:p>
      <w:pPr>
        <w:pStyle w:val="ListBullet"/>
        <w:numPr>
          <w:ilvl w:val="0"/>
          <w:numId w:val="1"/>
        </w:numPr>
      </w:pPr>
      <w:r>
        <w:t>El Gancho no enseña el OA completo; abre una necesidad real y deja una pregunta.</w:t>
      </w:r>
    </w:p>
    <w:p>
      <w:pPr>
        <w:pStyle w:val="ListBullet"/>
        <w:numPr>
          <w:ilvl w:val="0"/>
          <w:numId w:val="1"/>
        </w:numPr>
      </w:pPr>
      <w:r>
        <w:t>La Lección no comienza de cero; comienza exactamente donde terminó el Gancho.</w:t>
      </w:r>
    </w:p>
    <w:p>
      <w:pPr>
        <w:pStyle w:val="ListBullet"/>
        <w:numPr>
          <w:ilvl w:val="0"/>
          <w:numId w:val="1"/>
        </w:numPr>
      </w:pPr>
      <w:r>
        <w:t>La producción solo avanza cuando el OA cumple las puertas de calidad definidas en este documento.</w:t>
      </w:r>
    </w:p>
    <w:p>
      <w:pPr>
        <w:pStyle w:val="Heading2"/>
      </w:pPr>
      <w:r>
        <w:t>2. Jerarquía de fuentes</w:t>
      </w:r>
    </w:p>
    <w:p>
      <w:r>
        <w:t>El orden de autoridad para producir cualquier OA es el siguiente:</w:t>
      </w:r>
    </w:p>
    <w:p>
      <w:pPr>
        <w:pStyle w:val="ListBullet"/>
        <w:numPr>
          <w:ilvl w:val="0"/>
          <w:numId w:val="1"/>
        </w:numPr>
      </w:pPr>
      <w:r>
        <w:t>Temario oficial de Exámenes Libres.</w:t>
      </w:r>
    </w:p>
    <w:p>
      <w:pPr>
        <w:pStyle w:val="ListBullet"/>
        <w:numPr>
          <w:ilvl w:val="0"/>
          <w:numId w:val="1"/>
        </w:numPr>
      </w:pPr>
      <w:r>
        <w:t>Bases Curriculares y OA/indicadores pertinentes.</w:t>
      </w:r>
    </w:p>
    <w:p>
      <w:pPr>
        <w:pStyle w:val="ListBullet"/>
        <w:numPr>
          <w:ilvl w:val="0"/>
          <w:numId w:val="1"/>
        </w:numPr>
      </w:pPr>
      <w:r>
        <w:t>Plan Maestro Unificado Gancho + Lección.</w:t>
      </w:r>
    </w:p>
    <w:p>
      <w:pPr>
        <w:pStyle w:val="ListBullet"/>
        <w:numPr>
          <w:ilvl w:val="0"/>
          <w:numId w:val="1"/>
        </w:numPr>
      </w:pPr>
      <w:r>
        <w:t>Materiales disciplinares y de apoyo disponibles en Drive.</w:t>
      </w:r>
    </w:p>
    <w:p>
      <w:pPr>
        <w:pStyle w:val="ListBullet"/>
        <w:numPr>
          <w:ilvl w:val="0"/>
          <w:numId w:val="1"/>
        </w:numPr>
      </w:pPr>
      <w:r>
        <w:t>Aprobaciones y correcciones expresas del usuario.</w:t>
      </w:r>
    </w:p>
    <w:p>
      <w:pPr>
        <w:pStyle w:val="Heading1"/>
      </w:pPr>
      <w:r>
        <w:t>3 · DISEÑO PREVIO</w:t>
      </w:r>
    </w:p>
    <w:p>
      <w:pPr>
        <w:pStyle w:val="Heading2"/>
      </w:pPr>
      <w:r>
        <w:t>3. Ficha Maestra Única del OA</w:t>
      </w:r>
    </w:p>
    <w:p>
      <w:r>
        <w:t>Antes de crear el storyboard del Gancho se completa una sola Ficha Maestra del OA. Esa ficha alimenta las dos fases y evita reconstruir el OA desde cero al pasar del Gancho a la Lección.</w:t>
      </w:r>
    </w:p>
    <w:p>
      <w:pPr>
        <w:pStyle w:val="ListBullet"/>
        <w:numPr>
          <w:ilvl w:val="0"/>
          <w:numId w:val="1"/>
        </w:numPr>
      </w:pPr>
      <w:r>
        <w:t>Asignatura, nivel y código OA.</w:t>
      </w:r>
    </w:p>
    <w:p>
      <w:pPr>
        <w:pStyle w:val="ListBullet"/>
        <w:numPr>
          <w:ilvl w:val="0"/>
          <w:numId w:val="1"/>
        </w:numPr>
      </w:pPr>
      <w:r>
        <w:t>Propósito disciplinar central.</w:t>
      </w:r>
    </w:p>
    <w:p>
      <w:pPr>
        <w:pStyle w:val="ListBullet"/>
        <w:numPr>
          <w:ilvl w:val="0"/>
          <w:numId w:val="1"/>
        </w:numPr>
      </w:pPr>
      <w:r>
        <w:t>Conceptos clave y errores frecuentes.</w:t>
      </w:r>
    </w:p>
    <w:p>
      <w:pPr>
        <w:pStyle w:val="ListBullet"/>
        <w:numPr>
          <w:ilvl w:val="0"/>
          <w:numId w:val="1"/>
        </w:numPr>
      </w:pPr>
      <w:r>
        <w:t>Dúo protagonista fijo (la joven y el joven) y contexto narrativo.</w:t>
      </w:r>
    </w:p>
    <w:p>
      <w:pPr>
        <w:pStyle w:val="ListBullet"/>
        <w:numPr>
          <w:ilvl w:val="0"/>
          <w:numId w:val="1"/>
        </w:numPr>
      </w:pPr>
      <w:r>
        <w:t>Pregunta detonante del Gancho.</w:t>
      </w:r>
    </w:p>
    <w:p>
      <w:pPr>
        <w:pStyle w:val="ListBullet"/>
        <w:numPr>
          <w:ilvl w:val="0"/>
          <w:numId w:val="1"/>
        </w:numPr>
      </w:pPr>
      <w:r>
        <w:t>Herramienta conceptual que resolverá la Lección.</w:t>
      </w:r>
    </w:p>
    <w:p>
      <w:pPr>
        <w:pStyle w:val="ListBullet"/>
        <w:numPr>
          <w:ilvl w:val="0"/>
          <w:numId w:val="1"/>
        </w:numPr>
      </w:pPr>
      <w:r>
        <w:t>Puente proyectado hacia el Juego.</w:t>
      </w:r>
    </w:p>
    <w:p>
      <w:pPr>
        <w:pStyle w:val="Heading1"/>
      </w:pPr>
      <w:r>
        <w:t>4 · IDENTIDAD</w:t>
      </w:r>
    </w:p>
    <w:p>
      <w:pPr>
        <w:pStyle w:val="Heading2"/>
      </w:pPr>
      <w:r>
        <w:t>4. Banco de protagonistas y reglas de continuidad</w:t>
      </w:r>
    </w:p>
    <w:p>
      <w:r>
        <w:t>La joven y el joven son protagonistas recurrentes de todas las asignaturas; el contexto cambia según la pertinencia didáctica.</w:t>
      </w:r>
    </w:p>
    <w:p>
      <w:pPr>
        <w:pStyle w:val="ListBullet"/>
        <w:numPr>
          <w:ilvl w:val="0"/>
          <w:numId w:val="1"/>
        </w:numPr>
      </w:pPr>
      <w:r>
        <w:t>No crear nuevos protagonistas principales salvo autorización expresa.</w:t>
      </w:r>
    </w:p>
    <w:p>
      <w:pPr>
        <w:pStyle w:val="ListBullet"/>
        <w:numPr>
          <w:ilvl w:val="0"/>
          <w:numId w:val="1"/>
        </w:numPr>
      </w:pPr>
      <w:r>
        <w:t>Dentro de un mismo OA deben mantenerse rasgos faciales, edad aparente, cabello, ojos, silueta, estilo y reconocimiento.</w:t>
      </w:r>
    </w:p>
    <w:p>
      <w:pPr>
        <w:pStyle w:val="ListBullet"/>
        <w:numPr>
          <w:ilvl w:val="0"/>
          <w:numId w:val="1"/>
        </w:numPr>
      </w:pPr>
      <w:r>
        <w:t>El vestuario puede adaptarse al contexto sin perder identidad.</w:t>
      </w:r>
    </w:p>
    <w:p>
      <w:pPr>
        <w:pStyle w:val="ListBullet"/>
        <w:numPr>
          <w:ilvl w:val="0"/>
          <w:numId w:val="1"/>
        </w:numPr>
      </w:pPr>
      <w:r>
        <w:t>La referencia visual fija al actor; el análisis pedagógico fija la historia.</w:t>
      </w:r>
    </w:p>
    <w:p>
      <w:pPr>
        <w:pStyle w:val="Heading2"/>
      </w:pPr>
      <w:r>
        <w:t>5. Continuidad dura y continuidad flexible</w:t>
      </w:r>
    </w:p>
    <w:p>
      <w:pPr>
        <w:pStyle w:val="ListBullet"/>
        <w:numPr>
          <w:ilvl w:val="0"/>
          <w:numId w:val="1"/>
        </w:numPr>
      </w:pPr>
      <w:r>
        <w:t>Continuidad dura: ambos protagonistas, conflicto cognitivo, pregunta detonante, objeto narrativo central y conexión disciplinar.</w:t>
      </w:r>
    </w:p>
    <w:p>
      <w:pPr>
        <w:pStyle w:val="ListBullet"/>
        <w:numPr>
          <w:ilvl w:val="0"/>
          <w:numId w:val="1"/>
        </w:numPr>
      </w:pPr>
      <w:r>
        <w:t>Continuidad flexible: escenario, vestuario adaptado, composición de escena y recursos visuales secundarios.</w:t>
      </w:r>
    </w:p>
    <w:p>
      <w:pPr>
        <w:pStyle w:val="ListBullet"/>
        <w:numPr>
          <w:ilvl w:val="0"/>
          <w:numId w:val="1"/>
        </w:numPr>
      </w:pPr>
      <w:r>
        <w:t>La continuidad debe sentirse clara para el estudiante, aunque el escenario evolucione.</w:t>
      </w:r>
    </w:p>
    <w:p>
      <w:pPr>
        <w:pStyle w:val="Heading1"/>
      </w:pPr>
      <w:r>
        <w:t>6 · FASE A</w:t>
      </w:r>
    </w:p>
    <w:p>
      <w:pPr>
        <w:pStyle w:val="Heading2"/>
      </w:pPr>
      <w:r>
        <w:t>6. Gancho: propósito y alcance</w:t>
      </w:r>
    </w:p>
    <w:p>
      <w:r>
        <w:t>El Gancho audiovisual debe captar atención, presentar una situación significativa o intrigante, generar tensión cognitiva y finalizar con una pregunta potente. No debe desarrollar la clase completa.</w:t>
      </w:r>
    </w:p>
    <w:p>
      <w:pPr>
        <w:pStyle w:val="ListBullet"/>
        <w:numPr>
          <w:ilvl w:val="0"/>
          <w:numId w:val="1"/>
        </w:numPr>
      </w:pPr>
      <w:r>
        <w:t>Duración del Gancho: exactamente 60 segundos.</w:t>
      </w:r>
    </w:p>
    <w:p>
      <w:pPr>
        <w:pStyle w:val="ListBullet"/>
        <w:numPr>
          <w:ilvl w:val="0"/>
          <w:numId w:val="1"/>
        </w:numPr>
      </w:pPr>
      <w:r>
        <w:t>La duración se verifica sobre el audio exportado y debe ser 60 segundos exactos.</w:t>
      </w:r>
    </w:p>
    <w:p>
      <w:pPr>
        <w:pStyle w:val="ListBullet"/>
        <w:numPr>
          <w:ilvl w:val="0"/>
          <w:numId w:val="1"/>
        </w:numPr>
      </w:pPr>
      <w:r>
        <w:t>Referencia de escritura: 130 palabras a 130 palabras por minuto; ajustar pausas y ritmo y medir el audio.</w:t>
      </w:r>
    </w:p>
    <w:p>
      <w:pPr>
        <w:pStyle w:val="ListBullet"/>
        <w:numPr>
          <w:ilvl w:val="0"/>
          <w:numId w:val="1"/>
        </w:numPr>
      </w:pPr>
      <w:r>
        <w:t>Cantidad estándar: 7 slides.</w:t>
      </w:r>
    </w:p>
    <w:p>
      <w:pPr>
        <w:pStyle w:val="ListBullet"/>
        <w:numPr>
          <w:ilvl w:val="0"/>
          <w:numId w:val="1"/>
        </w:numPr>
      </w:pPr>
      <w:r>
        <w:t>Una idea principal por slide.</w:t>
      </w:r>
    </w:p>
    <w:p>
      <w:pPr>
        <w:pStyle w:val="ListBullet"/>
        <w:numPr>
          <w:ilvl w:val="0"/>
          <w:numId w:val="1"/>
        </w:numPr>
      </w:pPr>
      <w:r>
        <w:t>Texto breve, grande y legible; la voz complementa, no lee literalmente la pantalla.</w:t>
      </w:r>
    </w:p>
    <w:p>
      <w:pPr>
        <w:pStyle w:val="ListBullet"/>
        <w:numPr>
          <w:ilvl w:val="0"/>
          <w:numId w:val="1"/>
        </w:numPr>
      </w:pPr>
      <w:r>
        <w:t>No incluir la explicación completa, reglas, procedimientos o solución final.</w:t>
      </w:r>
    </w:p>
    <w:p>
      <w:pPr>
        <w:pStyle w:val="Heading2"/>
      </w:pPr>
      <w:r>
        <w:t>7. Arquitectura narrativa del Gancho</w:t>
      </w:r>
    </w:p>
    <w:p>
      <w:pPr>
        <w:pStyle w:val="ListBullet"/>
        <w:numPr>
          <w:ilvl w:val="0"/>
          <w:numId w:val="1"/>
        </w:numPr>
      </w:pPr>
      <w:r>
        <w:t>Slide 1: impacto / situación inicial.</w:t>
      </w:r>
    </w:p>
    <w:p>
      <w:pPr>
        <w:pStyle w:val="ListBullet"/>
        <w:numPr>
          <w:ilvl w:val="0"/>
          <w:numId w:val="1"/>
        </w:numPr>
      </w:pPr>
      <w:r>
        <w:t>Slide 2: contexto / observación clave.</w:t>
      </w:r>
    </w:p>
    <w:p>
      <w:pPr>
        <w:pStyle w:val="ListBullet"/>
        <w:numPr>
          <w:ilvl w:val="0"/>
          <w:numId w:val="1"/>
        </w:numPr>
      </w:pPr>
      <w:r>
        <w:t>Slide 3: tensión o decisión.</w:t>
      </w:r>
    </w:p>
    <w:p>
      <w:pPr>
        <w:pStyle w:val="ListBullet"/>
        <w:numPr>
          <w:ilvl w:val="0"/>
          <w:numId w:val="1"/>
        </w:numPr>
      </w:pPr>
      <w:r>
        <w:t>Slide 4: pista o descubrimiento inicial.</w:t>
      </w:r>
    </w:p>
    <w:p>
      <w:pPr>
        <w:pStyle w:val="ListBullet"/>
        <w:numPr>
          <w:ilvl w:val="0"/>
          <w:numId w:val="1"/>
        </w:numPr>
      </w:pPr>
      <w:r>
        <w:t>Slide 5: escalada / consecuencia visible.</w:t>
      </w:r>
    </w:p>
    <w:p>
      <w:pPr>
        <w:pStyle w:val="ListBullet"/>
        <w:numPr>
          <w:ilvl w:val="0"/>
          <w:numId w:val="1"/>
        </w:numPr>
      </w:pPr>
      <w:r>
        <w:t>Slide 6: antesala de la gran pregunta.</w:t>
      </w:r>
    </w:p>
    <w:p>
      <w:pPr>
        <w:pStyle w:val="ListBullet"/>
        <w:numPr>
          <w:ilvl w:val="0"/>
          <w:numId w:val="1"/>
        </w:numPr>
      </w:pPr>
      <w:r>
        <w:t>Slide 7: pregunta detonante final.</w:t>
      </w:r>
    </w:p>
    <w:p>
      <w:pPr>
        <w:pStyle w:val="Heading1"/>
      </w:pPr>
      <w:r>
        <w:t>8 · PRODUCCIÓN VISUAL</w:t>
      </w:r>
    </w:p>
    <w:p>
      <w:pPr>
        <w:pStyle w:val="Heading2"/>
      </w:pPr>
      <w:r>
        <w:t>8. Gramática visual del Gancho</w:t>
      </w:r>
    </w:p>
    <w:p>
      <w:pPr>
        <w:pStyle w:val="ListBullet"/>
        <w:numPr>
          <w:ilvl w:val="0"/>
          <w:numId w:val="1"/>
        </w:numPr>
      </w:pPr>
      <w:r>
        <w:t>Cada slide es una imagen final 16:9 de una sola pieza.</w:t>
      </w:r>
    </w:p>
    <w:p>
      <w:pPr>
        <w:pStyle w:val="ListBullet"/>
        <w:numPr>
          <w:ilvl w:val="0"/>
          <w:numId w:val="1"/>
        </w:numPr>
      </w:pPr>
      <w:r>
        <w:t>La slide debe sentirse integrada, no armada como collage.</w:t>
      </w:r>
    </w:p>
    <w:p>
      <w:pPr>
        <w:pStyle w:val="ListBullet"/>
        <w:numPr>
          <w:ilvl w:val="0"/>
          <w:numId w:val="1"/>
        </w:numPr>
      </w:pPr>
      <w:r>
        <w:t>El personaje debe leerse con claridad y no quedar tapado por paneles.</w:t>
      </w:r>
    </w:p>
    <w:p>
      <w:pPr>
        <w:pStyle w:val="ListBullet"/>
        <w:numPr>
          <w:ilvl w:val="0"/>
          <w:numId w:val="1"/>
        </w:numPr>
      </w:pPr>
      <w:r>
        <w:t>El texto visible debe ser mínimo y funcional.</w:t>
      </w:r>
    </w:p>
    <w:p>
      <w:pPr>
        <w:pStyle w:val="ListBullet"/>
        <w:numPr>
          <w:ilvl w:val="0"/>
          <w:numId w:val="1"/>
        </w:numPr>
      </w:pPr>
      <w:r>
        <w:t>La escena debe apoyar la narración, no competir con ella.</w:t>
      </w:r>
    </w:p>
    <w:p>
      <w:pPr>
        <w:pStyle w:val="ListBullet"/>
        <w:numPr>
          <w:ilvl w:val="0"/>
          <w:numId w:val="1"/>
        </w:numPr>
      </w:pPr>
      <w:r>
        <w:t>Estilo obligatorio: anime educativo contemporáneo premium, moderno, cinematográfico, limpio y no fotorealista.</w:t>
      </w:r>
    </w:p>
    <w:p>
      <w:pPr>
        <w:pStyle w:val="ListBullet"/>
        <w:numPr>
          <w:ilvl w:val="0"/>
          <w:numId w:val="1"/>
        </w:numPr>
      </w:pPr>
      <w:r>
        <w:t>Los personajes escolares deben aparentar aproximadamente 11 a 13 años; se evita la ilustración infantil o excesivamente caricaturesca.</w:t>
      </w:r>
    </w:p>
    <w:p>
      <w:pPr>
        <w:pStyle w:val="ListBullet"/>
        <w:numPr>
          <w:ilvl w:val="0"/>
          <w:numId w:val="1"/>
        </w:numPr>
      </w:pPr>
      <w:r>
        <w:t>La iluminación debe ser equilibrada y legible: cinematográfica, pero sin penumbra excesiva, saturación o pérdida de detalle.</w:t>
      </w:r>
    </w:p>
    <w:p>
      <w:pPr>
        <w:pStyle w:val="ListBullet"/>
        <w:numPr>
          <w:ilvl w:val="0"/>
          <w:numId w:val="1"/>
        </w:numPr>
      </w:pPr>
      <w:r>
        <w:t>En Historia, vestuario, arquitectura, objetos, mapas, tecnología y escenarios deben corresponder al periodo y territorio representados.</w:t>
      </w:r>
    </w:p>
    <w:p>
      <w:pPr>
        <w:pStyle w:val="ListBullet"/>
        <w:numPr>
          <w:ilvl w:val="0"/>
          <w:numId w:val="1"/>
        </w:numPr>
      </w:pPr>
      <w:r>
        <w:t>La escena base puede generarse sin texto y recibir después la integración tipográfica; la entrega final sigue siendo una sola imagen 16:9 completamente integrada.</w:t>
      </w:r>
    </w:p>
    <w:p>
      <w:pPr>
        <w:pStyle w:val="Heading2"/>
      </w:pPr>
      <w:r>
        <w:t>9. Imagen, texto visible y voz</w:t>
      </w:r>
    </w:p>
    <w:p>
      <w:pPr>
        <w:pStyle w:val="ListBullet"/>
        <w:numPr>
          <w:ilvl w:val="0"/>
          <w:numId w:val="1"/>
        </w:numPr>
      </w:pPr>
      <w:r>
        <w:t>La imagen hace visible la escena y la situación.</w:t>
      </w:r>
    </w:p>
    <w:p>
      <w:pPr>
        <w:pStyle w:val="ListBullet"/>
        <w:numPr>
          <w:ilvl w:val="0"/>
          <w:numId w:val="1"/>
        </w:numPr>
      </w:pPr>
      <w:r>
        <w:t>El texto visible refuerza una idea breve o una pregunta.</w:t>
      </w:r>
    </w:p>
    <w:p>
      <w:pPr>
        <w:pStyle w:val="ListBullet"/>
        <w:numPr>
          <w:ilvl w:val="0"/>
          <w:numId w:val="1"/>
        </w:numPr>
      </w:pPr>
      <w:r>
        <w:t>La voz desarrolla el sentido y la progresión narrativa.</w:t>
      </w:r>
    </w:p>
    <w:p>
      <w:pPr>
        <w:pStyle w:val="ListBullet"/>
        <w:numPr>
          <w:ilvl w:val="0"/>
          <w:numId w:val="1"/>
        </w:numPr>
      </w:pPr>
      <w:r>
        <w:t>No se debe duplicar en pantalla el mismo texto completo que irá en la voz.</w:t>
      </w:r>
    </w:p>
    <w:p>
      <w:pPr>
        <w:pStyle w:val="Heading1"/>
      </w:pPr>
      <w:r>
        <w:t>10 · HANDOFF</w:t>
      </w:r>
    </w:p>
    <w:p>
      <w:pPr>
        <w:pStyle w:val="Heading2"/>
      </w:pPr>
      <w:r>
        <w:t>10. Puerta de aprobación del Gancho</w:t>
      </w:r>
    </w:p>
    <w:p>
      <w:r>
        <w:t>Antes de iniciar la Lección, el Gancho debe superar una revisión integral de todas sus diapositivas, corregir los defectos detectados y quedar cerrado en contenido, imágenes, guion, notas al orador, PPTX, continuidad y almacenamiento persistente.</w:t>
      </w:r>
    </w:p>
    <w:p>
      <w:pPr>
        <w:pStyle w:val="Heading2"/>
      </w:pPr>
      <w:r>
        <w:t>11. Ficha de Continuidad Gancho → Lección</w:t>
      </w:r>
    </w:p>
    <w:p>
      <w:pPr>
        <w:pStyle w:val="ListBullet"/>
        <w:numPr>
          <w:ilvl w:val="0"/>
          <w:numId w:val="1"/>
        </w:numPr>
      </w:pPr>
      <w:r>
        <w:t>Pregunta detonante que se reactivará al inicio de la Lección.</w:t>
      </w:r>
    </w:p>
    <w:p>
      <w:pPr>
        <w:pStyle w:val="ListBullet"/>
        <w:numPr>
          <w:ilvl w:val="0"/>
          <w:numId w:val="1"/>
        </w:numPr>
      </w:pPr>
      <w:r>
        <w:t>Escena, objeto o símbolo que permitirá reconocer la continuidad.</w:t>
      </w:r>
    </w:p>
    <w:p>
      <w:pPr>
        <w:pStyle w:val="ListBullet"/>
        <w:numPr>
          <w:ilvl w:val="0"/>
          <w:numId w:val="1"/>
        </w:numPr>
      </w:pPr>
      <w:r>
        <w:t>Protagonista y estado narrativo al cierre del Gancho.</w:t>
      </w:r>
    </w:p>
    <w:p>
      <w:pPr>
        <w:pStyle w:val="ListBullet"/>
        <w:numPr>
          <w:ilvl w:val="0"/>
          <w:numId w:val="1"/>
        </w:numPr>
      </w:pPr>
      <w:r>
        <w:t>Idea puente que conectará con la meta de aprendizaje.</w:t>
      </w:r>
    </w:p>
    <w:p>
      <w:pPr>
        <w:pStyle w:val="Heading1"/>
      </w:pPr>
      <w:r>
        <w:t>12 · FASE B</w:t>
      </w:r>
    </w:p>
    <w:p>
      <w:pPr>
        <w:pStyle w:val="Heading2"/>
      </w:pPr>
      <w:r>
        <w:t>12. Lección: principio de continuidad</w:t>
      </w:r>
    </w:p>
    <w:p>
      <w:r>
        <w:t>La Lección comienza donde terminó el Gancho. Recupera visualmente la situación, reactiva la pregunta y entrega la herramienta conceptual o procedimental que permite comprender y responder.</w:t>
      </w:r>
    </w:p>
    <w:p>
      <w:pPr>
        <w:pStyle w:val="Heading2"/>
      </w:pPr>
      <w:r>
        <w:t>13. Arquitectura estándar de la Lección</w:t>
      </w:r>
    </w:p>
    <w:p>
      <w:pPr>
        <w:pStyle w:val="ListBullet"/>
        <w:numPr>
          <w:ilvl w:val="0"/>
          <w:numId w:val="1"/>
        </w:numPr>
      </w:pPr>
      <w:r>
        <w:t>Slide 1: puente con el Gancho y objetivo breve de esta Lección.</w:t>
      </w:r>
    </w:p>
    <w:p>
      <w:pPr>
        <w:pStyle w:val="ListBullet"/>
        <w:numPr>
          <w:ilvl w:val="0"/>
          <w:numId w:val="1"/>
        </w:numPr>
      </w:pPr>
      <w:r>
        <w:t>Slide 2: pregunta detonante.</w:t>
      </w:r>
    </w:p>
    <w:p>
      <w:pPr>
        <w:pStyle w:val="ListBullet"/>
        <w:numPr>
          <w:ilvl w:val="0"/>
          <w:numId w:val="1"/>
        </w:numPr>
      </w:pPr>
      <w:r>
        <w:t>Slide 3: concepto previo que activa la explicación; el objetivo ya aparece en la slide 1.</w:t>
      </w:r>
    </w:p>
    <w:p>
      <w:pPr>
        <w:pStyle w:val="ListBullet"/>
        <w:numPr>
          <w:ilvl w:val="0"/>
          <w:numId w:val="1"/>
        </w:numPr>
      </w:pPr>
      <w:r>
        <w:t>Slide 4: activación previa.</w:t>
      </w:r>
    </w:p>
    <w:p>
      <w:pPr>
        <w:pStyle w:val="ListBullet"/>
        <w:numPr>
          <w:ilvl w:val="0"/>
          <w:numId w:val="1"/>
        </w:numPr>
      </w:pPr>
      <w:r>
        <w:t>Slide 5: descubrimiento visual.</w:t>
      </w:r>
    </w:p>
    <w:p>
      <w:pPr>
        <w:pStyle w:val="ListBullet"/>
        <w:numPr>
          <w:ilvl w:val="0"/>
          <w:numId w:val="1"/>
        </w:numPr>
      </w:pPr>
      <w:r>
        <w:t>Slide 6: idea clave 1.</w:t>
      </w:r>
    </w:p>
    <w:p>
      <w:pPr>
        <w:pStyle w:val="ListBullet"/>
        <w:numPr>
          <w:ilvl w:val="0"/>
          <w:numId w:val="1"/>
        </w:numPr>
      </w:pPr>
      <w:r>
        <w:t>Slide 7: ejemplo guiado relacionado con el Gancho.</w:t>
      </w:r>
    </w:p>
    <w:p>
      <w:pPr>
        <w:pStyle w:val="ListBullet"/>
        <w:numPr>
          <w:ilvl w:val="0"/>
          <w:numId w:val="1"/>
        </w:numPr>
      </w:pPr>
      <w:r>
        <w:t>Slide 8: pausa cognitiva.</w:t>
      </w:r>
    </w:p>
    <w:p>
      <w:pPr>
        <w:pStyle w:val="ListBullet"/>
        <w:numPr>
          <w:ilvl w:val="0"/>
          <w:numId w:val="1"/>
        </w:numPr>
      </w:pPr>
      <w:r>
        <w:t>Slide 9: idea clave 2.</w:t>
      </w:r>
    </w:p>
    <w:p>
      <w:pPr>
        <w:pStyle w:val="ListBullet"/>
        <w:numPr>
          <w:ilvl w:val="0"/>
          <w:numId w:val="1"/>
        </w:numPr>
      </w:pPr>
      <w:r>
        <w:t>Slide 10: comparación o contraste.</w:t>
      </w:r>
    </w:p>
    <w:p>
      <w:pPr>
        <w:pStyle w:val="ListBullet"/>
        <w:numPr>
          <w:ilvl w:val="0"/>
          <w:numId w:val="1"/>
        </w:numPr>
      </w:pPr>
      <w:r>
        <w:t>Slide 11: contexto nuevo.</w:t>
      </w:r>
    </w:p>
    <w:p>
      <w:pPr>
        <w:pStyle w:val="ListBullet"/>
        <w:numPr>
          <w:ilvl w:val="0"/>
          <w:numId w:val="1"/>
        </w:numPr>
      </w:pPr>
      <w:r>
        <w:t>Slide 12: segundo paso de un ejemplo modelado.</w:t>
      </w:r>
    </w:p>
    <w:p>
      <w:pPr>
        <w:pStyle w:val="ListBullet"/>
        <w:numPr>
          <w:ilvl w:val="0"/>
          <w:numId w:val="1"/>
        </w:numPr>
      </w:pPr>
      <w:r>
        <w:t>Slide 13: aplicación o evidencia explicada por los protagonistas; no se entrega un reto al estudiante.</w:t>
      </w:r>
    </w:p>
    <w:p>
      <w:pPr>
        <w:pStyle w:val="ListBullet"/>
        <w:numPr>
          <w:ilvl w:val="0"/>
          <w:numId w:val="1"/>
        </w:numPr>
      </w:pPr>
      <w:r>
        <w:t>Slide 14: regreso al Gancho y resolución progresiva de la pregunta.</w:t>
      </w:r>
    </w:p>
    <w:p>
      <w:pPr>
        <w:pStyle w:val="ListBullet"/>
        <w:numPr>
          <w:ilvl w:val="0"/>
          <w:numId w:val="1"/>
        </w:numPr>
      </w:pPr>
      <w:r>
        <w:t>Slide 15: síntesis visual.</w:t>
      </w:r>
    </w:p>
    <w:p>
      <w:pPr>
        <w:pStyle w:val="ListBullet"/>
        <w:numPr>
          <w:ilvl w:val="0"/>
          <w:numId w:val="1"/>
        </w:numPr>
      </w:pPr>
      <w:r>
        <w:t>Slide 16: error frecuente y aclaración.</w:t>
      </w:r>
    </w:p>
    <w:p>
      <w:pPr>
        <w:pStyle w:val="ListBullet"/>
        <w:numPr>
          <w:ilvl w:val="0"/>
          <w:numId w:val="1"/>
        </w:numPr>
      </w:pPr>
      <w:r>
        <w:t>Slide 17: síntesis de la idea clave y transición breve a la práctica posterior.</w:t>
      </w:r>
    </w:p>
    <w:p>
      <w:pPr>
        <w:pStyle w:val="Heading1"/>
      </w:pPr>
      <w:r>
        <w:t>14 · CONTROL TEMPRANO</w:t>
      </w:r>
    </w:p>
    <w:p>
      <w:pPr>
        <w:pStyle w:val="Heading2"/>
      </w:pPr>
      <w:r>
        <w:t>14. Tres slides ancla antes de producir en masa</w:t>
      </w:r>
    </w:p>
    <w:p>
      <w:r>
        <w:t>Antes de generar toda la Lección se validan tres puntos críticos. Si uno falla, se corrige el diseño antes de continuar.</w:t>
      </w:r>
    </w:p>
    <w:p>
      <w:pPr>
        <w:pStyle w:val="ListBullet"/>
        <w:numPr>
          <w:ilvl w:val="0"/>
          <w:numId w:val="1"/>
        </w:numPr>
      </w:pPr>
      <w:r>
        <w:t>Ancla 1: apertura con continuidad clara desde el Gancho.</w:t>
      </w:r>
    </w:p>
    <w:p>
      <w:pPr>
        <w:pStyle w:val="ListBullet"/>
        <w:numPr>
          <w:ilvl w:val="0"/>
          <w:numId w:val="1"/>
        </w:numPr>
      </w:pPr>
      <w:r>
        <w:t>Ancla 2: una slide de desarrollo conceptual.</w:t>
      </w:r>
    </w:p>
    <w:p>
      <w:pPr>
        <w:pStyle w:val="ListBullet"/>
        <w:numPr>
          <w:ilvl w:val="0"/>
          <w:numId w:val="1"/>
        </w:numPr>
      </w:pPr>
      <w:r>
        <w:t>Ancla 3: una slide de síntesis, feedback o cierre.</w:t>
      </w:r>
    </w:p>
    <w:p>
      <w:pPr>
        <w:pStyle w:val="Heading2"/>
      </w:pPr>
      <w:r>
        <w:t>15. Evolución autorizada del escenario</w:t>
      </w:r>
    </w:p>
    <w:p>
      <w:pPr>
        <w:pStyle w:val="ListBullet"/>
        <w:numPr>
          <w:ilvl w:val="0"/>
          <w:numId w:val="1"/>
        </w:numPr>
      </w:pPr>
      <w:r>
        <w:t>La apertura debe reconocer claramente el mundo del Gancho.</w:t>
      </w:r>
    </w:p>
    <w:p>
      <w:pPr>
        <w:pStyle w:val="ListBullet"/>
        <w:numPr>
          <w:ilvl w:val="0"/>
          <w:numId w:val="1"/>
        </w:numPr>
      </w:pPr>
      <w:r>
        <w:t>La abstracción puede aumentar cuando el contenido empieza a formalizarse.</w:t>
      </w:r>
    </w:p>
    <w:p>
      <w:pPr>
        <w:pStyle w:val="ListBullet"/>
        <w:numPr>
          <w:ilvl w:val="0"/>
          <w:numId w:val="1"/>
        </w:numPr>
      </w:pPr>
      <w:r>
        <w:t>Los cambios de escenario deben tener función didáctica, no ser decoración.</w:t>
      </w:r>
    </w:p>
    <w:p>
      <w:pPr>
        <w:pStyle w:val="ListBullet"/>
        <w:numPr>
          <w:ilvl w:val="0"/>
          <w:numId w:val="1"/>
        </w:numPr>
      </w:pPr>
      <w:r>
        <w:t>La transferencia ocurre después de establecer comprensión.</w:t>
      </w:r>
    </w:p>
    <w:p>
      <w:pPr>
        <w:pStyle w:val="ListBullet"/>
        <w:numPr>
          <w:ilvl w:val="0"/>
          <w:numId w:val="1"/>
        </w:numPr>
      </w:pPr>
      <w:r>
        <w:t>El cierre recupera visualmente el mundo u objeto del Gancho cuando sea pertinente.</w:t>
      </w:r>
    </w:p>
    <w:p>
      <w:pPr>
        <w:pStyle w:val="Heading2"/>
      </w:pPr>
      <w:r>
        <w:t>16. Regla práctica + feedback</w:t>
      </w:r>
    </w:p>
    <w:p>
      <w:pPr>
        <w:pStyle w:val="ListBullet"/>
        <w:numPr>
          <w:ilvl w:val="0"/>
          <w:numId w:val="1"/>
        </w:numPr>
      </w:pPr>
      <w:r>
        <w:t>Toda práctica debe tener función didáctica visible.</w:t>
      </w:r>
    </w:p>
    <w:p>
      <w:pPr>
        <w:pStyle w:val="ListBullet"/>
        <w:numPr>
          <w:ilvl w:val="0"/>
          <w:numId w:val="1"/>
        </w:numPr>
      </w:pPr>
      <w:r>
        <w:t>Toda respuesta o feedback debe ser explícita.</w:t>
      </w:r>
    </w:p>
    <w:p>
      <w:pPr>
        <w:pStyle w:val="ListBullet"/>
        <w:numPr>
          <w:ilvl w:val="0"/>
          <w:numId w:val="1"/>
        </w:numPr>
      </w:pPr>
      <w:r>
        <w:t>No dejar diapositivas de aplicación sin resolución o sin orientación.</w:t>
      </w:r>
    </w:p>
    <w:p>
      <w:pPr>
        <w:pStyle w:val="Heading1"/>
      </w:pPr>
      <w:r>
        <w:t>17 · DISEÑO</w:t>
      </w:r>
    </w:p>
    <w:p>
      <w:pPr>
        <w:pStyle w:val="Heading2"/>
      </w:pPr>
      <w:r>
        <w:t>17. Sistema visual de la Lección</w:t>
      </w:r>
    </w:p>
    <w:p>
      <w:pPr>
        <w:pStyle w:val="ListBullet"/>
        <w:numPr>
          <w:ilvl w:val="0"/>
          <w:numId w:val="1"/>
        </w:numPr>
      </w:pPr>
      <w:r>
        <w:t>Imagen final 16:9 por diapositiva.</w:t>
      </w:r>
    </w:p>
    <w:p>
      <w:pPr>
        <w:pStyle w:val="ListBullet"/>
        <w:numPr>
          <w:ilvl w:val="0"/>
          <w:numId w:val="1"/>
        </w:numPr>
      </w:pPr>
      <w:r>
        <w:t>Composición limpia, premium, moderna y didáctica.</w:t>
      </w:r>
    </w:p>
    <w:p>
      <w:pPr>
        <w:pStyle w:val="ListBullet"/>
        <w:numPr>
          <w:ilvl w:val="0"/>
          <w:numId w:val="1"/>
        </w:numPr>
      </w:pPr>
      <w:r>
        <w:t>Texto visible mínimo, claro y bien integrado.</w:t>
      </w:r>
    </w:p>
    <w:p>
      <w:pPr>
        <w:pStyle w:val="ListBullet"/>
        <w:numPr>
          <w:ilvl w:val="0"/>
          <w:numId w:val="1"/>
        </w:numPr>
      </w:pPr>
      <w:r>
        <w:t>Etiquetas y paneles ajustados al contenido real.</w:t>
      </w:r>
    </w:p>
    <w:p>
      <w:pPr>
        <w:pStyle w:val="ListBullet"/>
        <w:numPr>
          <w:ilvl w:val="0"/>
          <w:numId w:val="1"/>
        </w:numPr>
      </w:pPr>
      <w:r>
        <w:t>Personaje siempre visible y reconocible.</w:t>
      </w:r>
    </w:p>
    <w:p>
      <w:pPr>
        <w:pStyle w:val="Heading2"/>
      </w:pPr>
      <w:r>
        <w:t>18. Integración visual / anti-cartel</w:t>
      </w:r>
    </w:p>
    <w:p>
      <w:pPr>
        <w:pStyle w:val="ListBullet"/>
        <w:numPr>
          <w:ilvl w:val="0"/>
          <w:numId w:val="1"/>
        </w:numPr>
      </w:pPr>
      <w:r>
        <w:t>La slide debe percibirse como una escena educativa integrada, no como un fondo con un gran cartel encima.</w:t>
      </w:r>
    </w:p>
    <w:p>
      <w:pPr>
        <w:pStyle w:val="ListBullet"/>
        <w:numPr>
          <w:ilvl w:val="0"/>
          <w:numId w:val="1"/>
        </w:numPr>
      </w:pPr>
      <w:r>
        <w:t>No se usan paneles de fondo; el texto o la notación matemática se integra en espacio negativo sin tapar personajes ni evidencia.</w:t>
      </w:r>
    </w:p>
    <w:p>
      <w:pPr>
        <w:pStyle w:val="ListBullet"/>
        <w:numPr>
          <w:ilvl w:val="0"/>
          <w:numId w:val="1"/>
        </w:numPr>
      </w:pPr>
      <w:r>
        <w:t>Los diagramas, palabras clave o comparaciones pueden vivir dentro de la escena cuando mejore la claridad.</w:t>
      </w:r>
    </w:p>
    <w:p>
      <w:pPr>
        <w:pStyle w:val="ListBullet"/>
        <w:numPr>
          <w:ilvl w:val="0"/>
          <w:numId w:val="1"/>
        </w:numPr>
      </w:pPr>
      <w:r>
        <w:t>Debe existir aire visual suficiente.</w:t>
      </w:r>
    </w:p>
    <w:p>
      <w:pPr>
        <w:pStyle w:val="Heading2"/>
      </w:pPr>
      <w:r>
        <w:t>18.1. Diseño premium contextual y prohibición de carteles repetitivos</w:t>
      </w:r>
    </w:p>
    <w:p>
      <w:pPr/>
      <w:r>
        <w:t>La calidad visual no se obtiene aplicando un mismo contenedor a todas las escenas. Cada diapositiva debe resolver su composición según la imagen, el contenido y el foco didáctico.</w:t>
      </w:r>
    </w:p>
    <w:p>
      <w:pPr>
        <w:pStyle w:val="ListBullet"/>
        <w:numPr>
          <w:ilvl w:val="0"/>
          <w:numId w:val="1"/>
        </w:numPr>
      </w:pPr>
      <w:r>
        <w:t>Se prohíbe repetir en serie grandes rectángulos, tarjetas o carteles superpuestos que oculten la escena o hagan que todas las diapositivas se vean iguales.</w:t>
      </w:r>
    </w:p>
    <w:p>
      <w:pPr>
        <w:pStyle w:val="ListBullet"/>
        <w:numPr>
          <w:ilvl w:val="0"/>
          <w:numId w:val="1"/>
        </w:numPr>
      </w:pPr>
      <w:r>
        <w:t>Se prioriza texto abierto sobre espacio negativo. La legibilidad se resuelve con posición y color tipográfico; no se añaden recuadros negros, franjas, placas ni veladuras de fondo. Una sombra muy suave se permite solo si sigue viéndose la imagen.</w:t>
      </w:r>
    </w:p>
    <w:p>
      <w:pPr>
        <w:pStyle w:val="ListBullet"/>
        <w:numPr>
          <w:ilvl w:val="0"/>
          <w:numId w:val="1"/>
        </w:numPr>
      </w:pPr>
      <w:r>
        <w:t>La ubicación del texto debe variar con criterio: borde lateral, tercio inferior, zona de cielo, área negativa, pregunta central o integración sobre arquitectura, según la escena.</w:t>
      </w:r>
    </w:p>
    <w:p>
      <w:pPr>
        <w:pStyle w:val="ListBullet"/>
        <w:numPr>
          <w:ilvl w:val="0"/>
          <w:numId w:val="1"/>
        </w:numPr>
      </w:pPr>
      <w:r>
        <w:t>Las soluciones visuales aprobadas en Matemática pueden inspirar jerarquía, limpieza y sofisticación, pero sus colores no se trasladan automáticamente a Historia u otra asignatura.</w:t>
      </w:r>
    </w:p>
    <w:p>
      <w:pPr>
        <w:pStyle w:val="ListBullet"/>
        <w:numPr>
          <w:ilvl w:val="0"/>
          <w:numId w:val="1"/>
        </w:numPr>
      </w:pPr>
      <w:r>
        <w:t>La paleta se deriva del OA, la asignatura, la época, el escenario y la iluminación. No se usan colores de referencia cuando chocan con la escena o reducen la coherencia histórica.</w:t>
      </w:r>
    </w:p>
    <w:p>
      <w:pPr>
        <w:pStyle w:val="Heading2"/>
      </w:pPr>
      <w:r>
        <w:t>18.2. Infografías transparentes y variación compositiva</w:t>
      </w:r>
    </w:p>
    <w:p>
      <w:pPr>
        <w:pStyle w:val="ListBullet"/>
        <w:numPr>
          <w:ilvl w:val="0"/>
          <w:numId w:val="1"/>
        </w:numPr>
      </w:pPr>
      <w:r>
        <w:t>Las infografías transparentes se utilizan solo cuando permiten comprender relaciones, redes, secuencias, cambios, comparaciones o síntesis que la escena sola no comunica con suficiente claridad.</w:t>
      </w:r>
    </w:p>
    <w:p>
      <w:pPr>
        <w:pStyle w:val="ListBullet"/>
        <w:numPr>
          <w:ilvl w:val="0"/>
          <w:numId w:val="1"/>
        </w:numPr>
      </w:pPr>
      <w:r>
        <w:t>Una infografía debe integrarse al espacio, conservar visible la escena y evitar paneles opacos, marcos pesados o apariencia de cartel escolar.</w:t>
      </w:r>
    </w:p>
    <w:p>
      <w:pPr>
        <w:pStyle w:val="ListBullet"/>
        <w:numPr>
          <w:ilvl w:val="0"/>
          <w:numId w:val="1"/>
        </w:numPr>
      </w:pPr>
      <w:r>
        <w:t>Las diapositivas consecutivas deben variar encuadre, escala, posición del protagonista y tratamiento tipográfico, sin romper el lenguaje visual común del OA.</w:t>
      </w:r>
    </w:p>
    <w:p>
      <w:pPr>
        <w:pStyle w:val="ListBullet"/>
        <w:numPr>
          <w:ilvl w:val="0"/>
          <w:numId w:val="1"/>
        </w:numPr>
      </w:pPr>
      <w:r>
        <w:t>Las sugerencias del usuario funcionan como criterios e ideas de diseño, no como órdenes gráficas aisladas. La decisión final debe aplicar juicio experto y escoger la solución que mejor sirva al contenido.</w:t>
      </w:r>
    </w:p>
    <w:p>
      <w:pPr>
        <w:pStyle w:val="Heading2"/>
      </w:pPr>
      <w:r>
        <w:t>18.3. Jerarquía tipográfica y zonas de seguridad</w:t>
      </w:r>
    </w:p>
    <w:p>
      <w:pPr/>
      <w:r>
        <w:t>La etiqueta de sección, el separador, el título y el subtítulo deben ocupar zonas verticales independientes. No basta con que sus cajas técnicas no se superpongan: deben percibirse separadas también en vista reducida.</w:t>
      </w:r>
    </w:p>
    <w:p>
      <w:pPr>
        <w:pStyle w:val="ListBullet"/>
        <w:numPr>
          <w:ilvl w:val="0"/>
          <w:numId w:val="1"/>
        </w:numPr>
      </w:pPr>
      <w:r>
        <w:t>En una imagen final de 1920 × 1080 debe existir un mínimo de 32 píxeles de aire visible entre el separador superior y el límite real del título, considerando mayúsculas, tildes y ascendentes.</w:t>
      </w:r>
    </w:p>
    <w:p>
      <w:pPr>
        <w:pStyle w:val="ListBullet"/>
        <w:numPr>
          <w:ilvl w:val="0"/>
          <w:numId w:val="1"/>
        </w:numPr>
      </w:pPr>
      <w:r>
        <w:t>El interlineado del título debe ser suficiente para que sus líneas no se rocen; como referencia, se utiliza al menos 1,10 veces el tamaño tipográfico.</w:t>
      </w:r>
    </w:p>
    <w:p>
      <w:pPr>
        <w:pStyle w:val="ListBullet"/>
        <w:numPr>
          <w:ilvl w:val="0"/>
          <w:numId w:val="1"/>
        </w:numPr>
      </w:pPr>
      <w:r>
        <w:t>Título y subtítulo forman un bloque visual: separar 24–32 px en una imagen de 1920 × 1080. Mantenerlos juntos y no desplazar el subtítulo hacia el borde inferior.</w:t>
      </w:r>
    </w:p>
    <w:p>
      <w:pPr>
        <w:pStyle w:val="ListBullet"/>
        <w:numPr>
          <w:ilvl w:val="0"/>
          <w:numId w:val="1"/>
        </w:numPr>
      </w:pPr>
      <w:r>
        <w:t>Todo texto se mantiene dentro de márgenes seguros y fuera del rostro, manos, objetos narrativos, mapas, operaciones o evidencias históricas relevantes.</w:t>
      </w:r>
    </w:p>
    <w:p>
      <w:pPr>
        <w:pStyle w:val="ListBullet"/>
        <w:numPr>
          <w:ilvl w:val="0"/>
          <w:numId w:val="1"/>
        </w:numPr>
      </w:pPr>
      <w:r>
        <w:t>La revisión tipográfica es obligatoria a tamaño completo y como miniatura. Si dos niveles se mezclan al reducir la slide, la jerarquía todavía no está resuelta.</w:t>
      </w:r>
    </w:p>
    <w:p>
      <w:pPr>
        <w:pStyle w:val="Heading2"/>
        <w:pageBreakBefore/>
        <w:ind w:left="115"/>
      </w:pPr>
      <w:r>
        <w:t>18.4. Control visual antes de producir o corregir en masa</w:t>
      </w:r>
    </w:p>
    <w:p>
      <w:pPr>
        <w:pStyle w:val="ListBullet"/>
        <w:numPr>
          <w:ilvl w:val="0"/>
          <w:numId w:val="1"/>
        </w:numPr>
      </w:pPr>
      <w:r>
        <w:t>Antes de aprobar una serie se revisan al menos una apertura, una slide conceptual, una comparación o infografía y un cierre.</w:t>
      </w:r>
    </w:p>
    <w:p>
      <w:pPr>
        <w:pStyle w:val="ListBullet"/>
        <w:numPr>
          <w:ilvl w:val="0"/>
          <w:numId w:val="1"/>
        </w:numPr>
      </w:pPr>
      <w:r>
        <w:t>Una corrección de espaciado, jerarquía o color detectada como problema de sistema se aplica a todas las diapositivas afectadas, no solo al ejemplo reportado.</w:t>
      </w:r>
    </w:p>
    <w:p>
      <w:pPr>
        <w:pStyle w:val="ListBullet"/>
        <w:numPr>
          <w:ilvl w:val="0"/>
          <w:numId w:val="1"/>
        </w:numPr>
      </w:pPr>
      <w:r>
        <w:t>No se entrega una presentación sin inspeccionar el montaje completo y las diapositivas críticas a tamaño real.</w:t>
      </w:r>
    </w:p>
    <w:p>
      <w:pPr>
        <w:pStyle w:val="Heading2"/>
        <w:ind w:left="115"/>
      </w:pPr>
      <w:r>
        <w:t>18.5. Color del texto secundario y contraste obligatorio</w:t>
      </w:r>
    </w:p>
    <w:p>
      <w:pPr>
        <w:ind w:left="115"/>
      </w:pPr>
      <w:r>
        <w:t>La legibilidad se resuelve desde la composición de cada imagen. El color del texto no se elige como adorno ni se aplica de manera automática a toda la serie.</w:t>
      </w:r>
    </w:p>
    <w:p>
      <w:pPr>
        <w:pStyle w:val="ListBullet"/>
        <w:numPr>
          <w:ilvl w:val="0"/>
          <w:numId w:val="1"/>
        </w:numPr>
      </w:pPr>
      <w:r>
        <w:t>El color se elige según cada fondo. Subtítulos de Inglés, Lengua, Ciencias e Historia: 48 pt exactos; Matemática conserva su escala propia.</w:t>
      </w:r>
    </w:p>
    <w:p>
      <w:pPr>
        <w:pStyle w:val="ListBullet"/>
        <w:numPr>
          <w:ilvl w:val="0"/>
          <w:numId w:val="1"/>
        </w:numPr>
      </w:pPr>
      <w:r>
        <w:t>Se permiten colores vibrantes o neón si el contraste se verifica y el texto se lee de inmediato; no aplicar un color fijo a todas las escenas.</w:t>
      </w:r>
    </w:p>
    <w:p>
      <w:pPr>
        <w:pStyle w:val="ListBullet"/>
        <w:numPr>
          <w:ilvl w:val="0"/>
          <w:numId w:val="1"/>
        </w:numPr>
      </w:pPr>
      <w:r>
        <w:t>Si el texto no contrasta, se cambia su color o se reubica sobre espacio negativo. No se agrega una caja negra, franja ni fondo detrás del texto.</w:t>
      </w:r>
    </w:p>
    <w:p>
      <w:pPr>
        <w:pStyle w:val="ListBullet"/>
        <w:numPr>
          <w:ilvl w:val="0"/>
          <w:numId w:val="1"/>
        </w:numPr>
      </w:pPr>
      <w:r>
        <w:t>No se resuelve la falta de contraste mediante contornos gruesos, sombras duras, cajas opacas o carteles que oculten la imagen.</w:t>
      </w:r>
    </w:p>
    <w:p>
      <w:pPr>
        <w:pStyle w:val="ListBullet"/>
        <w:numPr>
          <w:ilvl w:val="0"/>
          <w:numId w:val="1"/>
        </w:numPr>
      </w:pPr>
      <w:r>
        <w:t>Como referencia técnica, el texto secundario debe alcanzar una relación de contraste mínima de 4,5:1; el texto grande puede aceptarse desde 3:1, siempre que la lectura sea inmediata.</w:t>
      </w:r>
    </w:p>
    <w:p>
      <w:pPr>
        <w:pStyle w:val="ListBullet"/>
        <w:numPr>
          <w:ilvl w:val="0"/>
          <w:numId w:val="1"/>
        </w:numPr>
      </w:pPr>
      <w:r>
        <w:t>El contraste se comprueba a tamaño completo y en miniatura. Si una frase exige esfuerzo, se pierde sobre luces del fondo o cambia de legibilidad dentro de una misma línea, la composición debe corregirse.</w:t>
      </w:r>
    </w:p>
    <w:p>
      <w:pPr>
        <w:pStyle w:val="Heading2"/>
        <w:ind w:left="115"/>
      </w:pPr>
      <w:r>
        <w:t>18.6. Revisión visual integral al terminar cada Gancho y cada Lección</w:t>
      </w:r>
    </w:p>
    <w:p>
      <w:pPr>
        <w:ind w:left="115"/>
      </w:pPr>
      <w:r>
        <w:t>Terminar las imágenes no equivale a terminar el producto. Antes de cerrar cada PPTX se revisan todas las diapositivas y las notas al orador.</w:t>
      </w:r>
    </w:p>
    <w:p>
      <w:pPr>
        <w:pStyle w:val="ListBullet"/>
        <w:numPr>
          <w:ilvl w:val="0"/>
          <w:numId w:val="1"/>
        </w:numPr>
      </w:pPr>
      <w:r>
        <w:t>Se revisan todas las diapositivas en orden, no solo una muestra. Se utiliza el montaje completo o una hoja de contacto y, además, cada imagen se inspecciona a tamaño real.</w:t>
      </w:r>
    </w:p>
    <w:p>
      <w:pPr>
        <w:pStyle w:val="ListBullet"/>
        <w:numPr>
          <w:ilvl w:val="0"/>
          <w:numId w:val="1"/>
        </w:numPr>
      </w:pPr>
      <w:r>
        <w:t>Contraste y legibilidad: título, subtítulo, etiqueta superior, separador, palabras clave, cifras y símbolos deben leerse sin esfuerzo.</w:t>
      </w:r>
    </w:p>
    <w:p>
      <w:pPr>
        <w:pStyle w:val="ListBullet"/>
        <w:numPr>
          <w:ilvl w:val="0"/>
          <w:numId w:val="1"/>
        </w:numPr>
      </w:pPr>
      <w:r>
        <w:t>Iluminación y color: se detectan penumbra excesiva, altas luces quemadas, saturación, dominante de color, fondos confusos o pérdida de detalle.</w:t>
      </w:r>
    </w:p>
    <w:p>
      <w:pPr>
        <w:pStyle w:val="ListBullet"/>
        <w:numPr>
          <w:ilvl w:val="0"/>
          <w:numId w:val="1"/>
        </w:numPr>
      </w:pPr>
      <w:r>
        <w:t>Calidad de imagen: se revisan nitidez, artefactos de generación, manos, anatomía, rostros, perspectiva, recortes accidentales y objetos deformados o duplicados.</w:t>
      </w:r>
    </w:p>
    <w:p>
      <w:pPr>
        <w:pStyle w:val="ListBullet"/>
        <w:numPr>
          <w:ilvl w:val="0"/>
          <w:numId w:val="1"/>
        </w:numPr>
      </w:pPr>
      <w:r>
        <w:t>Continuidad: protagonista, edad aparente, rasgos, vestuario, objeto narrativo, escenario y progresión deben mantenerse coherentes.</w:t>
      </w:r>
    </w:p>
    <w:p>
      <w:pPr>
        <w:pStyle w:val="ListBullet"/>
        <w:numPr>
          <w:ilvl w:val="0"/>
          <w:numId w:val="1"/>
        </w:numPr>
      </w:pPr>
      <w:r>
        <w:t>Correspondencia didáctica: cada imagen debe representar exactamente la idea explicada en el guion y no introducir errores, ambigüedades o elementos distractores.</w:t>
      </w:r>
    </w:p>
    <w:p>
      <w:pPr>
        <w:pStyle w:val="ListBullet"/>
        <w:numPr>
          <w:ilvl w:val="0"/>
          <w:numId w:val="1"/>
        </w:numPr>
      </w:pPr>
      <w:r>
        <w:t>Exactitud disciplinar: se comprueban conceptos, procesos, datos, escalas, unidades, mapas, periodos, tecnología, causalidad y cualquier representación propia de la asignatura.</w:t>
      </w:r>
    </w:p>
    <w:p>
      <w:pPr>
        <w:pStyle w:val="ListBullet"/>
        <w:numPr>
          <w:ilvl w:val="0"/>
          <w:numId w:val="1"/>
        </w:numPr>
      </w:pPr>
      <w:r>
        <w:t>Variación visual: se detectan encuadres repetitivos, composiciones idénticas, carteles reiterados o una secuencia visualmente monótona.</w:t>
      </w:r>
    </w:p>
    <w:p>
      <w:pPr>
        <w:pStyle w:val="ListBullet"/>
        <w:numPr>
          <w:ilvl w:val="0"/>
          <w:numId w:val="1"/>
        </w:numPr>
      </w:pPr>
      <w:r>
        <w:t>Todo defecto se corrige antes de ensamblar el archivo final. Después de corregir, se repite la revisión completa; no se valida únicamente la diapositiva modificada.</w:t>
      </w:r>
    </w:p>
    <w:p>
      <w:pPr>
        <w:pStyle w:val="ListBullet"/>
        <w:numPr>
          <w:ilvl w:val="0"/>
          <w:numId w:val="1"/>
        </w:numPr>
      </w:pPr>
      <w:r>
        <w:t>Esta revisión es una puerta bloqueante: si una imagen falla, el Gancho o la Lección permanece en estado EN REVISIÓN y no puede declararse terminado ni entregarse.</w:t>
      </w:r>
    </w:p>
    <w:p>
      <w:pPr>
        <w:pStyle w:val="Heading1"/>
      </w:pPr>
      <w:r>
        <w:t>19 · EXACTITUD</w:t>
      </w:r>
    </w:p>
    <w:p>
      <w:pPr>
        <w:pStyle w:val="Heading2"/>
      </w:pPr>
      <w:r>
        <w:t>19. Matriz de Exactitud Disciplinar y Visual</w:t>
      </w:r>
    </w:p>
    <w:p>
      <w:r>
        <w:t>La exactitud visual forma parte del contenido. En Historia, una fecha, periodo, territorio, actor, vestuario, arquitectura, tecnología, símbolo, mapa o relación causal incorrecta invalida la slide aunque la estética sea buena.</w:t>
      </w:r>
    </w:p>
    <w:p>
      <w:pPr>
        <w:pStyle w:val="ListBullet"/>
        <w:numPr>
          <w:ilvl w:val="0"/>
          <w:numId w:val="1"/>
        </w:numPr>
      </w:pPr>
      <w:r>
        <w:t>Cronología y periodo histórico correctos.</w:t>
      </w:r>
    </w:p>
    <w:p>
      <w:pPr>
        <w:pStyle w:val="ListBullet"/>
        <w:numPr>
          <w:ilvl w:val="0"/>
          <w:numId w:val="1"/>
        </w:numPr>
      </w:pPr>
      <w:r>
        <w:t>Actores históricos pertinentes.</w:t>
      </w:r>
    </w:p>
    <w:p>
      <w:pPr>
        <w:pStyle w:val="ListBullet"/>
        <w:numPr>
          <w:ilvl w:val="0"/>
          <w:numId w:val="1"/>
        </w:numPr>
      </w:pPr>
      <w:r>
        <w:t>Escenario y territorio coherentes.</w:t>
      </w:r>
    </w:p>
    <w:p>
      <w:pPr>
        <w:pStyle w:val="ListBullet"/>
        <w:numPr>
          <w:ilvl w:val="0"/>
          <w:numId w:val="1"/>
        </w:numPr>
      </w:pPr>
      <w:r>
        <w:t>Vestuario, arquitectura y objetos sin anacronismos.</w:t>
      </w:r>
    </w:p>
    <w:p>
      <w:pPr>
        <w:pStyle w:val="ListBullet"/>
        <w:numPr>
          <w:ilvl w:val="0"/>
          <w:numId w:val="1"/>
        </w:numPr>
      </w:pPr>
      <w:r>
        <w:t>Relación causa–consecuencia clara.</w:t>
      </w:r>
    </w:p>
    <w:p>
      <w:pPr>
        <w:pStyle w:val="ListBullet"/>
        <w:numPr>
          <w:ilvl w:val="0"/>
          <w:numId w:val="1"/>
        </w:numPr>
      </w:pPr>
      <w:r>
        <w:t>Presencia de cambio y continuidad cuando corresponda.</w:t>
      </w:r>
    </w:p>
    <w:p>
      <w:pPr>
        <w:pStyle w:val="ListBullet"/>
        <w:numPr>
          <w:ilvl w:val="0"/>
          <w:numId w:val="1"/>
        </w:numPr>
      </w:pPr>
      <w:r>
        <w:t>Rigor en conceptos históricos y cívicos.</w:t>
      </w:r>
    </w:p>
    <w:p>
      <w:pPr>
        <w:pStyle w:val="Heading2"/>
      </w:pPr>
      <w:r>
        <w:t>20. Ejemplo de trazabilidad</w:t>
      </w:r>
    </w:p>
    <w:p>
      <w:r>
        <w:t>Cada OA debe poder rastrearse desde el temario oficial hasta la slide final. La narrativa, la imagen, el guion y el PPTX deben responder al mismo objetivo.</w:t>
      </w:r>
    </w:p>
    <w:p>
      <w:pPr>
        <w:pStyle w:val="Heading1"/>
      </w:pPr>
      <w:r>
        <w:t>21 · CORRECCIONES</w:t>
      </w:r>
    </w:p>
    <w:p>
      <w:pPr>
        <w:pStyle w:val="Heading2"/>
      </w:pPr>
      <w:r>
        <w:t>21. Protocolo de corrección: CAMBIAR / CONGELAR</w:t>
      </w:r>
    </w:p>
    <w:p>
      <w:r>
        <w:t>Antes de corregir una slide se define explícitamente qué debe modificarse y qué debe permanecer intacto. Una corrección local no autoriza rediseñar por completo lo que ya está aprobado sin necesidad.</w:t>
      </w:r>
    </w:p>
    <w:p>
      <w:pPr>
        <w:pStyle w:val="ListBullet"/>
        <w:numPr>
          <w:ilvl w:val="0"/>
          <w:numId w:val="1"/>
        </w:numPr>
      </w:pPr>
      <w:r>
        <w:t>CAMBIAR: aquello que presenta error o debilidad concreta.</w:t>
      </w:r>
    </w:p>
    <w:p>
      <w:pPr>
        <w:pStyle w:val="ListBullet"/>
        <w:numPr>
          <w:ilvl w:val="0"/>
          <w:numId w:val="1"/>
        </w:numPr>
      </w:pPr>
      <w:r>
        <w:t>CONGELAR: aquello que ya cumple función didáctica y visual.</w:t>
      </w:r>
    </w:p>
    <w:p>
      <w:pPr>
        <w:pStyle w:val="ListBullet"/>
        <w:numPr>
          <w:ilvl w:val="0"/>
          <w:numId w:val="1"/>
        </w:numPr>
      </w:pPr>
      <w:r>
        <w:t>Toda corrección debe preservar continuidad y trazabilidad.</w:t>
      </w:r>
    </w:p>
    <w:p>
      <w:pPr>
        <w:pStyle w:val="Heading1"/>
      </w:pPr>
      <w:r>
        <w:t>22 · PRODUCCIÓN Y ENTREGA PPTX</w:t>
      </w:r>
    </w:p>
    <w:p>
      <w:pPr/>
      <w:r>
        <w:t>Cada presentación se entrega como un solo archivo PPTX. Incluye una imagen final 16:9 por diapositiva, overlays breves de texto o notación matemática y notas al orador completas.</w:t>
      </w:r>
    </w:p>
    <w:p>
      <w:pPr/>
      <w:r>
        <w:t>No se generan ni se exigen ZIP, GUION.txt, PNG sueltos, carpetas de imágenes, PDF de guion ni archivos auxiliares. El PPTX se guarda de forma persistente y se comprueba que abre y conserva las notas.</w:t>
      </w:r>
    </w:p>
    <w:p>
      <w:pPr>
        <w:pStyle w:val="Heading1"/>
      </w:pPr>
      <w:r>
        <w:t>23 · TIEMPOS Y VOZ EN OFF</w:t>
      </w:r>
    </w:p>
    <w:p>
      <w:pPr/>
      <w:r>
        <w:t>Gancho: 60 segundos exactos. Presentación explicativa: 90 segundos exactos. No usar duraciones aproximadas.</w:t>
      </w:r>
    </w:p>
    <w:p>
      <w:pPr/>
      <w:r>
        <w:t>Las notas al orador son el texto completo de la voz en off. No incluyen instrucciones internas que el sistema de voz pudiera leer. Como referencia de escritura, usar 130 palabras para el Gancho y 195 para la explicación a 130 palabras por minuto; la duración se confirma midiendo el audio exportado.</w:t>
      </w:r>
    </w:p>
    <w:p>
      <w:pPr>
        <w:pStyle w:val="Heading1"/>
      </w:pPr>
      <w:r>
        <w:t>24 · APERTURA Y CIERRE DE LA EXPLICACIÓN</w:t>
      </w:r>
    </w:p>
    <w:p>
      <w:pPr/>
      <w:r>
        <w:t>La diapositiva 1 de la presentación explicativa combina el puente con el Gancho y un objetivo de aprendizaje específico, breve y comprensible. El objetivo se narra en las notas y no se posterga a la diapositiva 3 ni requiere una lámina adicional.</w:t>
      </w:r>
    </w:p>
    <w:p>
      <w:pPr/>
      <w:r>
        <w:t>La presentación explicativa enseña y modela la idea; no incluye el desafío ni la práctica que siguen en la secuencia. Si la arquitectura usa espacios “Tú continúas” o “Ahora tú”, se sustituyen por un ejemplo modelado o una aclaración explicada.</w:t>
      </w:r>
    </w:p>
    <w:p>
      <w:pPr/>
      <w:r>
        <w:t>El video termina con una síntesis o idea clave y una transición corta a la práctica posterior. No termina con una pregunta, desafío o tarea que el estudiante deba resolver.</w:t>
      </w:r>
    </w:p>
    <w:p>
      <w:pPr>
        <w:pStyle w:val="Heading1"/>
      </w:pPr>
      <w:r>
        <w:t>25 · CONTROL DE CALIDAD VIGENTE</w:t>
      </w:r>
    </w:p>
    <w:p>
      <w:pPr/>
      <w:r>
        <w:t>Verificar el objetivo en la primera diapositiva explicativa, la duración exacta del audio, las notas de voz en off, la presencia activa de la joven y el joven y la correspondencia entre imagen, texto y contenido curricular.</w:t>
      </w:r>
    </w:p>
    <w:p>
      <w:pPr/>
      <w:r>
        <w:t>Subtítulos de Inglés, Lengua, Ciencias e Historia: 48 pt. Matemática mantiene la excepción tipográfica propia. Título: 60–72 pt; dato o etiqueta breve: 44–54 pt. Mantener el grupo título-subtítulo junto, con 24–32 px de separación a 1920 × 1080.</w:t>
      </w:r>
    </w:p>
    <w:p>
      <w:pPr/>
      <w:r>
        <w:t>Los colores se adaptan a la escena; se permiten acentos vibrantes o neón si el contraste es suficiente. Escribir el nombre de las unidades completo (por ejemplo, “metros”, no “m”), salvo cuando la abreviatura sea el contenido que se enseña. No usar recuadros negros, franjas, tarjetas ni máscaras detrás del texto. Revisar cada diapositiva completa y en una ventana reducida cercana a 380 px.</w:t>
      </w:r>
    </w:p>
    <w:p>
      <w:pPr/>
      <w:r>
        <w:t>La entrega se aprueba solo cuando el PPTX abre, sus notas están completas y renderizadas, los dos personajes son visibles, los textos contrastan y no hay recortes, solapamientos ni una pantalla final de desafío.</w:t>
      </w:r>
    </w:p>
    <w:p>
      <w:pPr>
        <w:pStyle w:val="Heading1"/>
      </w:pPr>
      <w:r>
        <w:t>26 · NORMATIVA DE PROTAGONISTAS</w:t>
      </w:r>
    </w:p>
    <w:p>
      <w:pPr/>
      <w:r>
        <w:t>En cada Gancho, Lección y presentación deben aparecer siempre la joven y el joven. Ambos participan con una función narrativa o didáctica; ninguno se alterna como protagonista único.</w:t>
      </w:r>
    </w:p>
    <w:p>
      <w:pPr/>
      <w:r>
        <w:t>Se conserva la identidad visual de ambos personajes entre diapositivas y asignaturas. Pueden variar el contexto y el vestuario funcional, sin perder su edad aparente ni sus rasgos reconocibles.</w:t>
      </w:r>
    </w:p>
    <w:p>
      <w:pPr/>
      <w:r>
        <w:t>Esta regla reemplaza la antigua alternancia de protagonistas entre OA y se aplica a la generación, corrección y revisión final.</w:t>
      </w:r>
    </w:p>
    <w:p>
      <w:pPr/>
      <w:r>
        <w:t>Fin del documento · Plan Maestro v1.5 actualizado 29-09-2026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Maestro EstudioSimple Gancho + Lección v1.5</dc:title>
  <dc:subject>QA visual integral, contraste accesible y persistencia verificada</dc:subject>
  <dc:creator>python-docx</dc:creator>
  <cp:keywords/>
  <dc:description>Nueva versión creada a partir de v1.4; conserva la estructura y añade puertas bloqueantes de revisión visual y almacenamiento.</dc:description>
  <cp:lastModifiedBy/>
  <cp:revision>1</cp:revision>
  <dcterms:created xsi:type="dcterms:W3CDTF">2013-12-23T23:15:00Z</dcterms:created>
  <dcterms:modified xsi:type="dcterms:W3CDTF">2013-12-23T23:15:00Z</dcterms:modified>
  <cp:category/>
</cp:coreProperties>
</file>