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ING</w:t>
      </w:r>
    </w:p>
    <w:p>
      <w:pPr>
        <w:spacing w:before="0" w:after="80" w:line="240" w:lineRule="auto"/>
      </w:pPr>
      <w:r>
        <w:rPr>
          <w:rFonts w:ascii="Calibri" w:hAnsi="Calibri"/>
          <w:b/>
          <w:i w:val="0"/>
          <w:color w:val="0B2545"/>
          <w:sz w:val="52"/>
        </w:rPr>
        <w:t>PLAN MAESTRO · INGLÉS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ING.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ING</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1.5 · Zonificación visual, notas al orador y QA bloqueante</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Inglés.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pPr>
              <w:spacing w:before="0" w:after="0" w:line="276" w:lineRule="auto"/>
            </w:pPr>
            <w:r>
              <w:rPr>
                <w:rFonts w:ascii="Calibri" w:hAnsi="Calibri"/>
                <w:b w:val="0"/>
                <w:i w:val="0"/>
                <w:color w:val="2D343C"/>
                <w:sz w:val="18"/>
              </w:rPr>
              <w:t>Puente, pregunta detonante y meta de aprendizaje.</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pPr>
              <w:spacing w:before="0" w:after="0" w:line="276" w:lineRule="auto"/>
            </w:pPr>
            <w:r>
              <w:rPr>
                <w:rFonts w:ascii="Calibri" w:hAnsi="Calibri"/>
                <w:b w:val="0"/>
                <w:i w:val="0"/>
                <w:color w:val="2D343C"/>
                <w:sz w:val="18"/>
              </w:rPr>
              <w:t>Práctica guiada: el estudiante participa y recibe orientación.</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pPr>
              <w:spacing w:before="0" w:after="0" w:line="276" w:lineRule="auto"/>
            </w:pPr>
            <w:r>
              <w:rPr>
                <w:rFonts w:ascii="Calibri" w:hAnsi="Calibri"/>
                <w:b w:val="0"/>
                <w:i w:val="0"/>
                <w:color w:val="2D343C"/>
                <w:sz w:val="18"/>
              </w:rPr>
              <w:t>Transferencia, error frecuente y aclaración.</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pPr>
              <w:spacing w:before="0" w:after="0" w:line="276" w:lineRule="auto"/>
            </w:pPr>
            <w:r>
              <w:rPr>
                <w:rFonts w:ascii="Calibri" w:hAnsi="Calibri"/>
                <w:b w:val="0"/>
                <w:i w:val="0"/>
                <w:color w:val="2D343C"/>
                <w:sz w:val="18"/>
              </w:rPr>
              <w:t>Síntesis, retorno al Gancho y puente al Juego.</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rPr>
          <w:rFonts w:ascii="Calibri" w:hAnsi="Calibri"/>
          <w:b w:val="0"/>
          <w:i w:val="0"/>
          <w:color w:val="232A32"/>
          <w:sz w:val="21"/>
        </w:rPr>
        <w:t>Se conserva el protagonista principal del OA; el contexto puede evolucionar solo si la evolución tiene función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ListBullet"/>
      </w:pPr>
      <w:r>
        <w:t>No se permite una máscara oscura dominante como recurso visual por defecto. Si la imagen ya contiene espacio negativo o una zona limpia, el texto debe ocupar ese espacio sin añadir una segunda capa que opaque la escena.</w:t>
      </w:r>
    </w:p>
    <w:p>
      <w:pPr>
        <w:pStyle w:val="ListBullet"/>
      </w:pPr>
      <w:r>
        <w:t>Cuando se requiera un panel para contraste, debe ser contenido, translúcido y funcional: no puede ocultar rostros, acciones, objetos clave ni evidencias visuales necesarias para comprender el paso conceptual.</w:t>
      </w:r>
    </w:p>
    <w:p>
      <w:pPr>
        <w:pStyle w:val="ListBullet"/>
      </w:pPr>
      <w:r>
        <w:t>El protagonista principal del OA debe mantener identidad visual consistente. Cualquier cambio de personaje, edad aparente, rasgos o vestuario que rompa la continuidad debe detectarse en el control visual antes de entregar.</w:t>
      </w:r>
    </w:p>
    <w:p>
      <w:pPr>
        <w:pStyle w:val="ListBullet"/>
      </w:pPr>
      <w:r>
        <w:t>El texto secundario debe priorizar blanco cuando exista contraste suficiente. Se evita usar colores de bajo contraste sobre fondos complejos.</w:t>
      </w:r>
    </w:p>
    <w:p>
      <w:pPr>
        <w:pStyle w:val="Heading1"/>
        <w:keepNext/>
      </w:pPr>
      <w:r>
        <w:rPr>
          <w:rFonts w:ascii="Calibri" w:hAnsi="Calibri"/>
          <w:b/>
          <w:i w:val="0"/>
          <w:color w:val="2E74B5"/>
          <w:sz w:val="32"/>
        </w:rPr>
        <w:t>5. Notas al orador y GUION.txt</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p>
      <w:pPr>
        <w:pStyle w:val="ListBullet"/>
      </w:pPr>
      <w:r>
        <w:t>No basta con incluir GUION.txt dentro del ZIP: el guion debe quedar integrado correctamente dentro de las notas de cada diapositiva del PPTX.</w:t>
      </w:r>
    </w:p>
    <w:p>
      <w:pPr>
        <w:pStyle w:val="ListBullet"/>
      </w:pPr>
      <w:r>
        <w:t>Se rechaza cualquier PPTX cuyas notas estén vacías, contengan solo numeración, placeholders o errores de serialización como “[object Object]”.</w:t>
      </w:r>
    </w:p>
    <w:p>
      <w:pPr>
        <w:pStyle w:val="ListBullet"/>
      </w:pPr>
      <w:r>
        <w:t>Antes de entregar se verifica al menos la primera diapositiva, una diapositiva intermedia y la última en vista de notas; si una falla, se revisan todas.</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pPr>
              <w:spacing w:before="0" w:after="0" w:line="276" w:lineRule="auto"/>
            </w:pPr>
            <w:r>
              <w:rPr>
                <w:rFonts w:ascii="Calibri" w:hAnsi="Calibri"/>
                <w:b w:val="0"/>
                <w:i w:val="0"/>
                <w:color w:val="2D343C"/>
                <w:sz w:val="18"/>
              </w:rPr>
              <w:t>Identificación</w:t>
            </w:r>
          </w:p>
        </w:tc>
        <w:tc>
          <w:tcPr>
            <w:tcW w:type="dxa" w:w="4625"/>
            <w:shd w:fill="F7FAFC"/>
          </w:tcPr>
          <w:p>
            <w:pPr>
              <w:spacing w:before="0" w:after="0" w:line="276" w:lineRule="auto"/>
            </w:pPr>
            <w:r>
              <w:rPr>
                <w:rFonts w:ascii="Calibri" w:hAnsi="Calibri"/>
                <w:b w:val="0"/>
                <w:i w:val="0"/>
                <w:color w:val="2D343C"/>
                <w:sz w:val="18"/>
              </w:rPr>
              <w:t>GUION.txt y notas usan exactamente slide-01.png, slide-02.png, etc.</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rPr>
          <w:rFonts w:ascii="Calibri" w:hAnsi="Calibri"/>
          <w:b w:val="0"/>
          <w:i w:val="0"/>
          <w:color w:val="232A32"/>
          <w:sz w:val="21"/>
        </w:rPr>
        <w:t>El ZIP tiene la nomenclatura literal, estructura plana, integridad comprobada y enlace descargable.</w:t>
      </w:r>
    </w:p>
    <w:p>
      <w:pPr>
        <w:pStyle w:val="ListBullet"/>
      </w:pPr>
      <w:r>
        <w:t>El montaje completo de las diapositivas se revisa visualmente antes de entregar: ninguna capa, máscara o panel puede impedir ver con claridad la imagen y su evidencia pedagógica.</w:t>
      </w:r>
    </w:p>
    <w:p>
      <w:pPr>
        <w:pStyle w:val="ListBullet"/>
      </w:pPr>
      <w:r>
        <w:t>Las notas del PPTX deben coincidir slide a slide con GUION.txt y estar libres de placeholders, vacíos o errores técnicos.</w:t>
      </w:r>
    </w:p>
    <w:p>
      <w:pPr>
        <w:pStyle w:val="ListBullet"/>
      </w:pPr>
      <w:r>
        <w:t>La revisión visual debe confirmar continuidad del protagonista, contraste correcto, ausencia de desbordes y que los paneles no se conviertan en carteles dominantes.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before="80" w:after="80" w:line="288" w:lineRule="auto"/>
            </w:pPr>
            <w:r>
              <w:rPr>
                <w:rFonts w:ascii="Calibri" w:hAnsi="Calibri"/>
                <w:b/>
                <w:i w:val="0"/>
                <w:color w:val="9B1C1C"/>
                <w:sz w:val="21"/>
              </w:rPr>
              <w:t xml:space="preserve">NO ENTREGABLE  </w:t>
            </w:r>
            <w:r>
              <w:rPr>
                <w:rFonts w:ascii="Calibri" w:hAnsi="Calibri"/>
                <w:b w:val="0"/>
                <w:i w:val="0"/>
                <w:color w:val="2D343C"/>
                <w:sz w:val="21"/>
              </w:rPr>
              <w:t>Si falla una de estas puertas, el OA vuelve a producción. La apertura del PPTX o la lectura superficial del ZIP no constituyen aprobación.</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Producto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Nombre obligatorio</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pPr>
              <w:spacing w:before="0" w:after="0" w:line="276" w:lineRule="auto"/>
            </w:pPr>
            <w:r>
              <w:rPr>
                <w:rFonts w:ascii="Calibri" w:hAnsi="Calibri"/>
                <w:b w:val="0"/>
                <w:i w:val="0"/>
                <w:color w:val="2D343C"/>
                <w:sz w:val="18"/>
              </w:rPr>
              <w:t>110-7-[SIGLA]-OA[NN]-GANCHO.zip</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pPr>
              <w:spacing w:before="0" w:after="0" w:line="276" w:lineRule="auto"/>
            </w:pPr>
            <w:r>
              <w:rPr>
                <w:rFonts w:ascii="Calibri" w:hAnsi="Calibri"/>
                <w:b w:val="0"/>
                <w:i w:val="0"/>
                <w:color w:val="2D343C"/>
                <w:sz w:val="18"/>
              </w:rPr>
              <w:t>110-7-[SIGLA]-OA[NN]-LECCION.zip</w:t>
            </w:r>
          </w:p>
        </w:tc>
      </w:tr>
      <w:tr>
        <w:tc>
          <w:tcPr>
            <w:tcW w:type="dxa" w:w="1875"/>
            <w:shd w:fill="F7FAFC"/>
          </w:tcPr>
          <w:p>
            <w:pPr>
              <w:spacing w:before="0" w:after="0" w:line="276" w:lineRule="auto"/>
            </w:pPr>
            <w:r>
              <w:rPr>
                <w:rFonts w:ascii="Calibri" w:hAnsi="Calibri"/>
                <w:b w:val="0"/>
                <w:i w:val="0"/>
                <w:color w:val="2D343C"/>
                <w:sz w:val="18"/>
              </w:rPr>
              <w:t>PPTX Gancho</w:t>
            </w:r>
          </w:p>
        </w:tc>
        <w:tc>
          <w:tcPr>
            <w:tcW w:type="dxa" w:w="4625"/>
            <w:shd w:fill="F7FAFC"/>
          </w:tcPr>
          <w:p>
            <w:pPr>
              <w:spacing w:before="0" w:after="0" w:line="276" w:lineRule="auto"/>
            </w:pPr>
            <w:r>
              <w:rPr>
                <w:rFonts w:ascii="Calibri" w:hAnsi="Calibri"/>
                <w:b w:val="0"/>
                <w:i w:val="0"/>
                <w:color w:val="2D343C"/>
                <w:sz w:val="18"/>
              </w:rPr>
              <w:t>110-7-[SIGLA]-OA[NN]-GANCHO.pptx</w:t>
            </w:r>
          </w:p>
        </w:tc>
      </w:tr>
      <w:tr>
        <w:tc>
          <w:tcPr>
            <w:tcW w:type="dxa" w:w="1875"/>
            <w:shd w:fill="FFFFFF"/>
          </w:tcPr>
          <w:p>
            <w:pPr>
              <w:spacing w:before="0" w:after="0" w:line="276" w:lineRule="auto"/>
            </w:pPr>
            <w:r>
              <w:rPr>
                <w:rFonts w:ascii="Calibri" w:hAnsi="Calibri"/>
                <w:b w:val="0"/>
                <w:i w:val="0"/>
                <w:color w:val="2D343C"/>
                <w:sz w:val="18"/>
              </w:rPr>
              <w:t>PPTX Lección</w:t>
            </w:r>
          </w:p>
        </w:tc>
        <w:tc>
          <w:tcPr>
            <w:tcW w:type="dxa" w:w="4625"/>
            <w:shd w:fill="FFFFFF"/>
          </w:tcPr>
          <w:p>
            <w:pPr>
              <w:spacing w:before="0" w:after="0" w:line="276" w:lineRule="auto"/>
            </w:pPr>
            <w:r>
              <w:rPr>
                <w:rFonts w:ascii="Calibri" w:hAnsi="Calibri"/>
                <w:b w:val="0"/>
                <w:i w:val="0"/>
                <w:color w:val="2D343C"/>
                <w:sz w:val="18"/>
              </w:rPr>
              <w:t>110-7-[SIGLA]-OA[NN]-LECCION.pptx</w:t>
            </w:r>
          </w:p>
        </w:tc>
      </w:tr>
    </w:tbl>
    <w:p>
      <w:pPr>
        <w:spacing w:after="40"/>
      </w:pPr>
    </w:p>
    <w:p>
      <w:pPr>
        <w:spacing w:before="0" w:after="120" w:line="300" w:lineRule="auto"/>
      </w:pPr>
      <w:r>
        <w:rPr>
          <w:rFonts w:ascii="Calibri" w:hAnsi="Calibri"/>
          <w:b w:val="0"/>
          <w:i w:val="0"/>
          <w:sz w:val="22"/>
        </w:rPr>
        <w:t>Cada ZIP debe tener estructura plana: PPTX homónimo, GUION.txt y las imágenes slide-01.png en adelante. Antes de comunicar enlaces se verifica unzip -t, tamaño, cantidad de archivos, SHA-256 y descarga real.</w:t>
      </w:r>
    </w:p>
    <w:p>
      <w:pPr>
        <w:pStyle w:val="Heading1"/>
        <w:keepNext/>
      </w:pPr>
      <w:r>
        <w:rPr>
          <w:rFonts w:ascii="Calibri" w:hAnsi="Calibri"/>
          <w:b/>
          <w:i w:val="0"/>
          <w:color w:val="2E74B5"/>
          <w:sz w:val="32"/>
        </w:rPr>
        <w:t>8. Flujo de trabajo obligatorio</w:t>
      </w:r>
    </w:p>
    <w:p>
      <w:pPr>
        <w:pStyle w:val="ListNumber"/>
        <w:spacing w:before="0" w:after="80" w:line="300" w:lineRule="auto"/>
      </w:pPr>
      <w:r>
        <w:rPr>
          <w:rFonts w:ascii="Calibri" w:hAnsi="Calibri"/>
          <w:b w:val="0"/>
          <w:i w:val="0"/>
          <w:color w:val="232A32"/>
          <w:sz w:val="21"/>
        </w:rPr>
        <w:t>Extraer OA, indicadores, errores frecuentes y propósito disciplinar desde la fuente oficial.</w:t>
      </w:r>
    </w:p>
    <w:p>
      <w:pPr>
        <w:pStyle w:val="ListNumber"/>
        <w:spacing w:before="0" w:after="80" w:line="300" w:lineRule="auto"/>
      </w:pPr>
      <w:r>
        <w:rPr>
          <w:rFonts w:ascii="Calibri" w:hAnsi="Calibri"/>
          <w:b w:val="0"/>
          <w:i w:val="0"/>
          <w:color w:val="232A32"/>
          <w:sz w:val="21"/>
        </w:rPr>
        <w:t>Completar la Ficha Maestra del OA antes de crear imágenes.</w:t>
      </w:r>
    </w:p>
    <w:p>
      <w:pPr>
        <w:pStyle w:val="ListNumber"/>
        <w:spacing w:before="0" w:after="80" w:line="300" w:lineRule="auto"/>
      </w:pPr>
      <w:r>
        <w:rPr>
          <w:rFonts w:ascii="Calibri" w:hAnsi="Calibri"/>
          <w:b w:val="0"/>
          <w:i w:val="0"/>
          <w:color w:val="232A32"/>
          <w:sz w:val="21"/>
        </w:rPr>
        <w:t>Diseñar Gancho y pregunta detonante.</w:t>
      </w:r>
    </w:p>
    <w:p>
      <w:pPr>
        <w:pStyle w:val="ListNumber"/>
        <w:spacing w:before="0" w:after="80" w:line="300" w:lineRule="auto"/>
      </w:pPr>
      <w:r>
        <w:rPr>
          <w:rFonts w:ascii="Calibri" w:hAnsi="Calibri"/>
          <w:b w:val="0"/>
          <w:i w:val="0"/>
          <w:color w:val="232A32"/>
          <w:sz w:val="21"/>
        </w:rPr>
        <w:t>Diseñar la herramienta disciplinar y el ejemplo completo antes de producir toda la Lección.</w:t>
      </w:r>
    </w:p>
    <w:p>
      <w:pPr>
        <w:pStyle w:val="ListNumber"/>
        <w:spacing w:before="0" w:after="80" w:line="300" w:lineRule="auto"/>
      </w:pPr>
      <w:r>
        <w:rPr>
          <w:rFonts w:ascii="Calibri" w:hAnsi="Calibri"/>
          <w:b w:val="0"/>
          <w:i w:val="0"/>
          <w:color w:val="232A32"/>
          <w:sz w:val="21"/>
        </w:rPr>
        <w:t>Validar una apertura, un ejemplo y un cierre antes de producir en masa.</w:t>
      </w:r>
    </w:p>
    <w:p>
      <w:pPr>
        <w:pStyle w:val="ListNumber"/>
        <w:spacing w:before="0" w:after="80" w:line="300" w:lineRule="auto"/>
      </w:pPr>
      <w:r>
        <w:rPr>
          <w:rFonts w:ascii="Calibri" w:hAnsi="Calibri"/>
          <w:b w:val="0"/>
          <w:i w:val="0"/>
          <w:color w:val="232A32"/>
          <w:sz w:val="21"/>
        </w:rPr>
        <w:t>Generar imágenes, PPTX, notas y GUION.txt.</w:t>
      </w:r>
    </w:p>
    <w:p>
      <w:pPr>
        <w:pStyle w:val="ListNumber"/>
        <w:spacing w:before="0" w:after="80" w:line="300" w:lineRule="auto"/>
      </w:pPr>
      <w:r>
        <w:rPr>
          <w:rFonts w:ascii="Calibri" w:hAnsi="Calibri"/>
          <w:b w:val="0"/>
          <w:i w:val="0"/>
          <w:color w:val="232A32"/>
          <w:sz w:val="21"/>
        </w:rPr>
        <w:t>Realizar revisión disciplinar, pedagógica, visual y técnica.</w:t>
      </w:r>
    </w:p>
    <w:p>
      <w:pPr>
        <w:pStyle w:val="ListNumber"/>
        <w:spacing w:before="0" w:after="80" w:line="300" w:lineRule="auto"/>
      </w:pPr>
      <w:r>
        <w:rPr>
          <w:rFonts w:ascii="Calibri" w:hAnsi="Calibri"/>
          <w:b w:val="0"/>
          <w:i w:val="0"/>
          <w:color w:val="232A32"/>
          <w:sz w:val="21"/>
        </w:rPr>
        <w:t>Crear ZIP, probar integridad, guardar de forma persistente y verificar los enlaces.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Inglés debe enseñar a comprender y producir mensajes en situaciones comunicativas. La Lección debe conectar significado, forma, pronunciación y uso. No basta con mostrar vocabulario o una regla gramatical aislada.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comprender el modelo, identificar el patrón, producir una respuesta semejante y usarlo en una situación nueva?</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de Inglés debe ser comunicativo y gradual: se presenta una situación, se comprende el mensaje, se identifica la expresión o estructura, se modela su uso, se practica con apoyo y se produce un mensaje propio.</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Comprender la situación y el propósito comunicativo.</w:t>
            </w:r>
          </w:p>
        </w:tc>
        <w:tc>
          <w:tcPr>
            <w:tcW w:type="dxa" w:w="4210"/>
            <w:shd w:fill="F7FAFC"/>
          </w:tcPr>
          <w:p>
            <w:pPr>
              <w:spacing w:before="0" w:after="0" w:line="276" w:lineRule="auto"/>
            </w:pPr>
            <w:r>
              <w:rPr>
                <w:rFonts w:ascii="Calibri" w:hAnsi="Calibri"/>
                <w:b w:val="0"/>
                <w:i w:val="0"/>
                <w:color w:val="2D343C"/>
                <w:sz w:val="18"/>
              </w:rPr>
              <w:t>Imagen o diálogo con contexto, hablantes, intención y resultado esperado.</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Identificar palabras o expresiones clave.</w:t>
            </w:r>
          </w:p>
        </w:tc>
        <w:tc>
          <w:tcPr>
            <w:tcW w:type="dxa" w:w="4210"/>
            <w:shd w:fill="FFFFFF"/>
          </w:tcPr>
          <w:p>
            <w:pPr>
              <w:spacing w:before="0" w:after="0" w:line="276" w:lineRule="auto"/>
            </w:pPr>
            <w:r>
              <w:rPr>
                <w:rFonts w:ascii="Calibri" w:hAnsi="Calibri"/>
                <w:b w:val="0"/>
                <w:i w:val="0"/>
                <w:color w:val="2D343C"/>
                <w:sz w:val="18"/>
              </w:rPr>
              <w:t>Significado apoyado por contexto, no por una lista aislada.</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Observar el patrón lingüístico.</w:t>
            </w:r>
          </w:p>
        </w:tc>
        <w:tc>
          <w:tcPr>
            <w:tcW w:type="dxa" w:w="4210"/>
            <w:shd w:fill="F7FAFC"/>
          </w:tcPr>
          <w:p>
            <w:pPr>
              <w:spacing w:before="0" w:after="0" w:line="276" w:lineRule="auto"/>
            </w:pPr>
            <w:r>
              <w:rPr>
                <w:rFonts w:ascii="Calibri" w:hAnsi="Calibri"/>
                <w:b w:val="0"/>
                <w:i w:val="0"/>
                <w:color w:val="2D343C"/>
                <w:sz w:val="18"/>
              </w:rPr>
              <w:t>Se destaca orden, forma verbal, auxiliar, pronombre o conector.</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Modelar la producción.</w:t>
            </w:r>
          </w:p>
        </w:tc>
        <w:tc>
          <w:tcPr>
            <w:tcW w:type="dxa" w:w="4210"/>
            <w:shd w:fill="FFFFFF"/>
          </w:tcPr>
          <w:p>
            <w:pPr>
              <w:spacing w:before="0" w:after="0" w:line="276" w:lineRule="auto"/>
            </w:pPr>
            <w:r>
              <w:rPr>
                <w:rFonts w:ascii="Calibri" w:hAnsi="Calibri"/>
                <w:b w:val="0"/>
                <w:i w:val="0"/>
                <w:color w:val="2D343C"/>
                <w:sz w:val="18"/>
              </w:rPr>
              <w:t>Se construye un ejemplo línea por línea y se explica su significado.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Practicar con sustitución y elección.</w:t>
            </w:r>
          </w:p>
        </w:tc>
        <w:tc>
          <w:tcPr>
            <w:tcW w:type="dxa" w:w="4210"/>
            <w:shd w:fill="F7FAFC"/>
          </w:tcPr>
          <w:p>
            <w:pPr>
              <w:spacing w:before="0" w:after="0" w:line="276" w:lineRule="auto"/>
            </w:pPr>
            <w:r>
              <w:rPr>
                <w:rFonts w:ascii="Calibri" w:hAnsi="Calibri"/>
                <w:b w:val="0"/>
                <w:i w:val="0"/>
                <w:color w:val="2D343C"/>
                <w:sz w:val="18"/>
              </w:rPr>
              <w:t>El estudiante cambia una parte manteniendo el patrón.</w:t>
            </w:r>
          </w:p>
        </w:tc>
      </w:tr>
      <w:tr>
        <w:tc>
          <w:tcPr>
            <w:tcW w:type="dxa" w:w="1250"/>
            <w:shd w:fill="FFFFFF"/>
          </w:tcPr>
          <w:p>
            <w:pPr>
              <w:spacing w:before="0" w:after="0" w:line="276" w:lineRule="auto"/>
            </w:pPr>
            <w:r>
              <w:rPr>
                <w:rFonts w:ascii="Calibri" w:hAnsi="Calibri"/>
                <w:b w:val="0"/>
                <w:i w:val="0"/>
                <w:color w:val="2D343C"/>
                <w:sz w:val="18"/>
              </w:rPr>
              <w:t>6</w:t>
            </w:r>
          </w:p>
        </w:tc>
        <w:tc>
          <w:tcPr>
            <w:tcW w:type="dxa" w:w="3900"/>
            <w:shd w:fill="FFFFFF"/>
          </w:tcPr>
          <w:p>
            <w:pPr>
              <w:spacing w:before="0" w:after="0" w:line="276" w:lineRule="auto"/>
            </w:pPr>
            <w:r>
              <w:rPr>
                <w:rFonts w:ascii="Calibri" w:hAnsi="Calibri"/>
                <w:b w:val="0"/>
                <w:i w:val="0"/>
                <w:color w:val="2D343C"/>
                <w:sz w:val="18"/>
              </w:rPr>
              <w:t>Usar el lenguaje en una situación nueva.</w:t>
            </w:r>
          </w:p>
        </w:tc>
        <w:tc>
          <w:tcPr>
            <w:tcW w:type="dxa" w:w="4210"/>
            <w:shd w:fill="FFFFFF"/>
          </w:tcPr>
          <w:p>
            <w:pPr>
              <w:spacing w:before="0" w:after="0" w:line="276" w:lineRule="auto"/>
            </w:pPr>
            <w:r>
              <w:rPr>
                <w:rFonts w:ascii="Calibri" w:hAnsi="Calibri"/>
                <w:b w:val="0"/>
                <w:i w:val="0"/>
                <w:color w:val="2D343C"/>
                <w:sz w:val="18"/>
              </w:rPr>
              <w:t>Mini diálogo, respuesta escrita o decisión comunicativa con feedback.</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completa un diálogo o texto con apoyos visuales y banco limitado de palabras.</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corrigen significado, orden, forma y pronunciación; se explica el efecto comunicativo del error.</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interlocutor, propósito o contexto para verificar uso funcional, no memorización.</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Presentar vocabulario sin contexto comunicativo.</w:t>
      </w:r>
    </w:p>
    <w:p>
      <w:pPr>
        <w:pStyle w:val="ListBullet"/>
        <w:spacing w:before="0" w:after="80" w:line="300" w:lineRule="auto"/>
      </w:pPr>
      <w:r>
        <w:rPr>
          <w:rFonts w:ascii="Calibri" w:hAnsi="Calibri"/>
          <w:b w:val="0"/>
          <w:i w:val="0"/>
          <w:color w:val="232A32"/>
          <w:sz w:val="21"/>
        </w:rPr>
        <w:t>Explicar una regla en español sin mostrar su uso en un mensaje.</w:t>
      </w:r>
    </w:p>
    <w:p>
      <w:pPr>
        <w:pStyle w:val="ListBullet"/>
        <w:spacing w:before="0" w:after="80" w:line="300" w:lineRule="auto"/>
      </w:pPr>
      <w:r>
        <w:rPr>
          <w:rFonts w:ascii="Calibri" w:hAnsi="Calibri"/>
          <w:b w:val="0"/>
          <w:i w:val="0"/>
          <w:color w:val="232A32"/>
          <w:sz w:val="21"/>
        </w:rPr>
        <w:t>Pedir producción libre antes de modelar una respuesta.</w:t>
      </w:r>
    </w:p>
    <w:p>
      <w:pPr>
        <w:pStyle w:val="ListBullet"/>
        <w:spacing w:before="0" w:after="80" w:line="300" w:lineRule="auto"/>
      </w:pPr>
      <w:r>
        <w:rPr>
          <w:rFonts w:ascii="Calibri" w:hAnsi="Calibri"/>
          <w:b w:val="0"/>
          <w:i w:val="0"/>
          <w:color w:val="232A32"/>
          <w:sz w:val="21"/>
        </w:rPr>
        <w:t>Corregir solo la forma y no explicar el significado.</w:t>
      </w:r>
    </w:p>
    <w:p>
      <w:pPr>
        <w:pStyle w:val="ListBullet"/>
        <w:spacing w:before="0" w:after="80" w:line="300" w:lineRule="auto"/>
      </w:pPr>
      <w:r>
        <w:rPr>
          <w:rFonts w:ascii="Calibri" w:hAnsi="Calibri"/>
          <w:b w:val="0"/>
          <w:i w:val="0"/>
          <w:color w:val="232A32"/>
          <w:sz w:val="21"/>
        </w:rPr>
        <w:t>Usar diálogos artificiales sin propósito o situación reconocible.</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modelo incluye significado y forma.</w:t>
      </w:r>
    </w:p>
    <w:p>
      <w:pPr>
        <w:pStyle w:val="ListBullet"/>
        <w:spacing w:before="0" w:after="80" w:line="300" w:lineRule="auto"/>
      </w:pPr>
      <w:r>
        <w:rPr>
          <w:rFonts w:ascii="Calibri" w:hAnsi="Calibri"/>
          <w:b w:val="0"/>
          <w:i w:val="0"/>
          <w:color w:val="232A32"/>
          <w:sz w:val="21"/>
        </w:rPr>
        <w:t>El estudiante puede reutilizar el patrón con palabras nuevas.</w:t>
      </w:r>
    </w:p>
    <w:p>
      <w:pPr>
        <w:pStyle w:val="ListBullet"/>
        <w:spacing w:before="0" w:after="80" w:line="300" w:lineRule="auto"/>
      </w:pPr>
      <w:r>
        <w:rPr>
          <w:rFonts w:ascii="Calibri" w:hAnsi="Calibri"/>
          <w:b w:val="0"/>
          <w:i w:val="0"/>
          <w:color w:val="232A32"/>
          <w:sz w:val="21"/>
        </w:rPr>
        <w:t>La práctica avanza de controlada a comunicativa.</w:t>
      </w:r>
    </w:p>
    <w:p>
      <w:pPr>
        <w:pStyle w:val="ListBullet"/>
        <w:spacing w:before="0" w:after="80" w:line="300" w:lineRule="auto"/>
      </w:pPr>
      <w:r>
        <w:rPr>
          <w:rFonts w:ascii="Calibri" w:hAnsi="Calibri"/>
          <w:b w:val="0"/>
          <w:i w:val="0"/>
          <w:color w:val="232A32"/>
          <w:sz w:val="21"/>
        </w:rPr>
        <w:t>El feedback diferencia error de significado, forma, orden y pronunciación.</w:t>
      </w:r>
    </w:p>
    <w:p>
      <w:pPr>
        <w:pStyle w:val="Heading1"/>
        <w:keepNext/>
      </w:pPr>
      <w:r>
        <w:rPr>
          <w:rFonts w:ascii="Calibri" w:hAnsi="Calibri"/>
          <w:b/>
          <w:i w:val="0"/>
          <w:color w:val="2E74B5"/>
          <w:sz w:val="32"/>
        </w:rPr>
        <w:t>14. Criterio de cierre del OA</w:t>
      </w:r>
    </w:p>
    <w:p>
      <w:pPr>
        <w:spacing w:before="0" w:after="120" w:line="300" w:lineRule="auto"/>
      </w:pPr>
      <w:r>
        <w:rPr>
          <w:rFonts w:ascii="Calibri" w:hAnsi="Calibri"/>
          <w:b w:val="0"/>
          <w:i w:val="0"/>
          <w:sz w:val="22"/>
        </w:rPr>
        <w:t>Un OA queda cerrado solo cuando el estudiante puede reconocer la herramienta, observar un ejemplo completo, resolver un caso con apoyo, responder un caso autónomo y explicar qué evidencia o procedimiento sostiene su respuesta. La producción visual, el ZIP y la persistencia son condiciones técnicas necesarias, pero no sustituyen la comprensión.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r>
              <w:t>FÓRMULA DE APROBACIÓN  Meta clara + ejemplo completo + práctica guiada + respuesta + feedback + transferencia + imagen visible y funcional + notas al orador reales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pPr>
        <w:pStyle w:val="Heading1"/>
      </w:pPr>
      <w:r>
        <w:t>15. Regla bloqueante de diseño visual y notas al orador</w:t>
      </w:r>
    </w:p>
    <w:p>
      <w:r>
        <w:t>Esta sección se incorpora como puerta obligatoria de producción. Su incumplimiento convierte el material en NO ENTREGABLE, aunque el PPTX abra correctamente y el ZIP esté íntegro.</w:t>
      </w:r>
    </w:p>
    <w:p>
      <w:pPr>
        <w:pStyle w:val="ListBullet"/>
      </w:pPr>
      <w:r>
        <w:t>Sistema preferente: split layout limpio. La imagen y el texto deben disponer de áreas propias; si existe espacio negativo, se aprovecha sin añadir una máscara oscura adicional.</w:t>
      </w:r>
    </w:p>
    <w:p>
      <w:pPr>
        <w:pStyle w:val="ListBullet"/>
      </w:pPr>
      <w:r>
        <w:t>Overlay controlado: solo se utiliza cuando sea necesario para legibilidad. Debe ser liviano y localizado; nunca debe cubrir al protagonista ni la evidencia visual principal.</w:t>
      </w:r>
    </w:p>
    <w:p>
      <w:pPr>
        <w:pStyle w:val="ListBullet"/>
      </w:pPr>
      <w:r>
        <w:t>Prohibición: no se permite una placa oscura semitransparente que cubra aproximadamente media diapositiva con alta opacidad y reduzca sustancialmente la lectura de la escena.</w:t>
      </w:r>
    </w:p>
    <w:p>
      <w:pPr>
        <w:pStyle w:val="ListBullet"/>
      </w:pPr>
      <w:r>
        <w:t>QA de contraste: cada diapositiva se revisa renderizada. Debe poder leerse el texto y, al mismo tiempo, reconocerse con claridad la escena, el protagonista y los elementos didácticos.</w:t>
      </w:r>
    </w:p>
    <w:p>
      <w:pPr>
        <w:pStyle w:val="ListBullet"/>
      </w:pPr>
      <w:r>
        <w:t>QA de continuidad: el protagonista del Gancho se conserva en la Lección y mantiene edad aparente, rasgos, tono de piel, cabello y elementos de identidad visual, salvo cambio narrativo explícitamente justificado.</w:t>
      </w:r>
    </w:p>
    <w:p>
      <w:pPr>
        <w:pStyle w:val="ListBullet"/>
      </w:pPr>
      <w:r>
        <w:t>QA de notas: las notas se inspeccionan dentro del PPTX. El guion debe ser texto real, legible y completo. “[object Object]”, notas vacías o numeración aislada provocan rechazo automático.</w:t>
      </w:r>
    </w:p>
    <w:p>
      <w:pPr>
        <w:pStyle w:val="ListBullet"/>
      </w:pPr>
      <w:r>
        <w:t>Correspondencia obligatoria: slide-01.png ↔ diapositiva 1 ↔ bloque slide-01.png de GUION.txt; la misma regla se aplica a todas las diapositivas.</w:t>
      </w:r>
    </w:p>
    <w:p>
      <w:pPr>
        <w:pStyle w:val="ListBullet"/>
      </w:pPr>
      <w:r>
        <w:t>Revisión final: antes de crear el ZIP se genera un montaje de todas las diapositivas y se revisa de forma visual. Después se abre el PPTX y se inspeccionan las notas. Solo entonces se empaqueta y entrega.</w:t>
      </w:r>
    </w:p>
    <w:tbl>
      <w:tblPr>
        <w:tblW w:type="auto" w:w="0"/>
        <w:tblLook w:firstColumn="1" w:firstRow="1" w:lastColumn="0" w:lastRow="0" w:noHBand="0" w:noVBand="1" w:val="04A0"/>
      </w:tblPr>
      <w:tblGrid>
        <w:gridCol w:w="9360"/>
      </w:tblGrid>
      <w:tr>
        <w:tc>
          <w:tcPr>
            <w:tcW w:type="dxa" w:w="9360"/>
          </w:tcPr>
          <w:p>
            <w:r>
              <w:t>NO ENTREGABLE  Si una máscara domina la imagen, si el protagonista pierde continuidad, o si las notas al orador no contienen el guion real, el OA vuelve a producción antes de crear el ZIP final.</w:t>
            </w:r>
          </w:p>
        </w:tc>
      </w:tr>
    </w:tbl>
    <w:p>
      <w:r>
        <w:br w:type="page"/>
      </w:r>
    </w:p>
    <w:p>
      <w:pPr>
        <w:jc w:val="center"/>
      </w:pPr>
      <w:r>
        <w:rPr>
          <w:b/>
          <w:sz w:val="32"/>
        </w:rPr>
        <w:t>ACTUALIZACIÓN CRÍTICA · VERSIÓN 1.3</w:t>
      </w:r>
    </w:p>
    <w:p>
      <w:pPr>
        <w:jc w:val="center"/>
      </w:pPr>
      <w:r>
        <w:rPr>
          <w:i/>
          <w:sz w:val="22"/>
        </w:rPr>
        <w:t>Corrección obligatoria del sistema visual, las notas al orador y la QA final</w:t>
      </w:r>
    </w:p>
    <w:p>
      <w:pPr>
        <w:pStyle w:val="Heading1"/>
      </w:pPr>
      <w:r>
        <w:t>1. Propósito de esta actualización</w:t>
      </w:r>
    </w:p>
    <w:p>
      <w:r>
        <w:t>Esta versión 1.3 corrige fallos detectados en la producción del OA09 de Inglés. Las reglas de este anexo son obligatorias y reemplazan cualquier práctica anterior que permita máscaras globales, notas al orador incompletas o verificaciones solo técnicas.</w:t>
      </w:r>
    </w:p>
    <w:p>
      <w:pPr>
        <w:pStyle w:val="Heading1"/>
      </w:pPr>
      <w:r>
        <w:t>2. Regla visual principal: prohibición de máscaras globales</w:t>
      </w:r>
    </w:p>
    <w:p>
      <w:r>
        <w:t>Queda estrictamente prohibido colocar rectángulos, overlays, gradientes o máscaras oscuras que cubran una parte significativa de la imagen para alojar texto.</w:t>
      </w:r>
    </w:p>
    <w:p>
      <w:pPr>
        <w:pStyle w:val="ListBullet"/>
      </w:pPr>
      <w:r>
        <w:t>No se permiten paneles oscuros de media diapositiva ni bloques dominantes sobre la escena.</w:t>
      </w:r>
    </w:p>
    <w:p>
      <w:pPr>
        <w:pStyle w:val="ListBullet"/>
      </w:pPr>
      <w:r>
        <w:t>La imagen debe permanecer visible, limpia y pedagógicamente funcional.</w:t>
      </w:r>
    </w:p>
    <w:p>
      <w:pPr>
        <w:pStyle w:val="ListBullet"/>
      </w:pPr>
      <w:r>
        <w:t>No se debe “bajar la opacidad” de una máscara si la máscara no es necesaria. En ese caso, se elimina.</w:t>
      </w:r>
    </w:p>
    <w:p>
      <w:pPr>
        <w:pStyle w:val="Heading1"/>
      </w:pPr>
      <w:r>
        <w:t>3. Sistema de composición obligatorio</w:t>
      </w:r>
    </w:p>
    <w:p>
      <w:r>
        <w:t>Las diapositivas deben construirse con la lógica de “imagen con espacio negativo” y no con la lógica de “imagen tapada por panel”.</w:t>
      </w:r>
    </w:p>
    <w:p>
      <w:pPr>
        <w:pStyle w:val="ListBullet"/>
      </w:pPr>
      <w:r>
        <w:t>La imagen final debe generarse o seleccionarse con espacio negativo suficiente para alojar títulos y textos breves.</w:t>
      </w:r>
    </w:p>
    <w:p>
      <w:pPr>
        <w:pStyle w:val="ListBullet"/>
      </w:pPr>
      <w:r>
        <w:t>El texto debe ubicarse directamente en el espacio negativo de la composición.</w:t>
      </w:r>
    </w:p>
    <w:p>
      <w:pPr>
        <w:pStyle w:val="ListBullet"/>
      </w:pPr>
      <w:r>
        <w:t>Solo se permiten etiquetas locales pequeñas si una frase puntual necesita contraste extra.</w:t>
      </w:r>
    </w:p>
    <w:p>
      <w:pPr>
        <w:pStyle w:val="ListBullet"/>
      </w:pPr>
      <w:r>
        <w:t>Las etiquetas locales deben ajustarse estrictamente al texto y no invadir el escenario ni al protagonista.</w:t>
      </w:r>
    </w:p>
    <w:p>
      <w:pPr>
        <w:pStyle w:val="Heading1"/>
      </w:pPr>
      <w:r>
        <w:t>4. Criterios de contraste y legibilidad</w:t>
      </w:r>
    </w:p>
    <w:p>
      <w:pPr>
        <w:pStyle w:val="ListBullet"/>
      </w:pPr>
      <w:r>
        <w:t>Si el fondo es claro, se prefiere texto oscuro.</w:t>
      </w:r>
    </w:p>
    <w:p>
      <w:pPr>
        <w:pStyle w:val="ListBullet"/>
      </w:pPr>
      <w:r>
        <w:t>Si el fondo es oscuro, se prefiere texto blanco.</w:t>
      </w:r>
    </w:p>
    <w:p>
      <w:pPr>
        <w:pStyle w:val="ListBullet"/>
      </w:pPr>
      <w:r>
        <w:t>El contraste se resuelve primero con composición y color tipográfico; solo en último caso con una etiqueta local.</w:t>
      </w:r>
    </w:p>
    <w:p>
      <w:pPr>
        <w:pStyle w:val="ListBullet"/>
      </w:pPr>
      <w:r>
        <w:t>No se utilizarán colores de bajo contraste que comprometan la lectura.</w:t>
      </w:r>
    </w:p>
    <w:p>
      <w:pPr>
        <w:pStyle w:val="Heading1"/>
      </w:pPr>
      <w:r>
        <w:t>5. Regla de visibilidad pedagógica</w:t>
      </w:r>
    </w:p>
    <w:p>
      <w:r>
        <w:t>Toda diapositiva debe permitir reconocer con claridad el protagonista, la acción, el contexto y la evidencia visual que apoya el aprendizaje.</w:t>
      </w:r>
    </w:p>
    <w:p>
      <w:pPr>
        <w:pStyle w:val="ListBullet"/>
      </w:pPr>
      <w:r>
        <w:t>Si el texto o un contenedor tapa el rostro del protagonista, la diapositiva se considera fallida.</w:t>
      </w:r>
    </w:p>
    <w:p>
      <w:pPr>
        <w:pStyle w:val="ListBullet"/>
      </w:pPr>
      <w:r>
        <w:t>Si el texto tapa la evidencia conceptual o el recurso visual principal, la diapositiva se considera fallida.</w:t>
      </w:r>
    </w:p>
    <w:p>
      <w:pPr>
        <w:pStyle w:val="ListBullet"/>
      </w:pPr>
      <w:r>
        <w:t>La imagen debe “respirar”: no puede sentirse aprisionada por carteles, recuadros o placas innecesarias.</w:t>
      </w:r>
    </w:p>
    <w:p>
      <w:pPr>
        <w:pStyle w:val="Heading1"/>
      </w:pPr>
      <w:r>
        <w:t>6. Continuidad visual obligatoria</w:t>
      </w:r>
    </w:p>
    <w:p>
      <w:r>
        <w:t>Entre Gancho y Lección debe mantenerse el mismo protagonista del OA, salvo instrucción explícita en contrario.</w:t>
      </w:r>
    </w:p>
    <w:p>
      <w:pPr>
        <w:pStyle w:val="ListBullet"/>
      </w:pPr>
      <w:r>
        <w:t>La continuidad se revisa en identidad general, colorimetría, edad aparente, vestuario base y rol narrativo.</w:t>
      </w:r>
    </w:p>
    <w:p>
      <w:pPr>
        <w:pStyle w:val="ListBullet"/>
      </w:pPr>
      <w:r>
        <w:t>Se puede cambiar el escenario cuando exista una razón didáctica, pero no el protagonista principal sin justificación.</w:t>
      </w:r>
    </w:p>
    <w:p>
      <w:pPr>
        <w:pStyle w:val="Heading1"/>
      </w:pPr>
      <w:r>
        <w:t>7. Notas al orador: idioma y función</w:t>
      </w:r>
    </w:p>
    <w:p>
      <w:r>
        <w:t>Las notas al orador son obligatorias en todas las presentaciones y constituyen el guion pedagógico completo para audio o locución.</w:t>
      </w:r>
    </w:p>
    <w:p>
      <w:pPr>
        <w:pStyle w:val="ListBullet"/>
      </w:pPr>
      <w:r>
        <w:t>Las notas deben estar redactadas principalmente en español.</w:t>
      </w:r>
    </w:p>
    <w:p>
      <w:pPr>
        <w:pStyle w:val="ListBullet"/>
      </w:pPr>
      <w:r>
        <w:t>El inglés se incorpora solo cuando sea necesario para el aprendizaje de la asignatura.</w:t>
      </w:r>
    </w:p>
    <w:p>
      <w:pPr>
        <w:pStyle w:val="ListBullet"/>
      </w:pPr>
      <w:r>
        <w:t>El guion debe explicar lo que se observa, qué se espera que piense o responda el estudiante y cómo se conecta con la diapositiva siguiente.</w:t>
      </w:r>
    </w:p>
    <w:p>
      <w:pPr>
        <w:pStyle w:val="ListBullet"/>
      </w:pPr>
      <w:r>
        <w:t>No basta incluir GUION.txt en el ZIP: el contenido debe quedar integrado en las notas del PPTX, diapositiva por diapositiva.</w:t>
      </w:r>
    </w:p>
    <w:p>
      <w:pPr>
        <w:pStyle w:val="Heading1"/>
      </w:pPr>
      <w:r>
        <w:t>8. Prohibiciones absolutas en notas al orador</w:t>
      </w:r>
    </w:p>
    <w:p>
      <w:pPr>
        <w:pStyle w:val="ListBullet"/>
      </w:pPr>
      <w:r>
        <w:t>No se entregan notas vacías.</w:t>
      </w:r>
    </w:p>
    <w:p>
      <w:pPr>
        <w:pStyle w:val="ListBullet"/>
      </w:pPr>
      <w:r>
        <w:t>No se entregan notas solo con numeración.</w:t>
      </w:r>
    </w:p>
    <w:p>
      <w:pPr>
        <w:pStyle w:val="ListBullet"/>
      </w:pPr>
      <w:r>
        <w:t>No se aceptan placeholders ni errores como “[object Object]”.</w:t>
      </w:r>
    </w:p>
    <w:p>
      <w:pPr>
        <w:pStyle w:val="ListBullet"/>
      </w:pPr>
      <w:r>
        <w:t>No se aceptan notas completas en inglés si la función es de guion pedagógico general.</w:t>
      </w:r>
    </w:p>
    <w:p>
      <w:pPr>
        <w:pStyle w:val="Heading1"/>
      </w:pPr>
      <w:r>
        <w:t>9. QA obligatoria antes de entregar</w:t>
      </w:r>
    </w:p>
    <w:p>
      <w:r>
        <w:t>La revisión final tiene dos puertas obligatorias: visual y funcional.</w:t>
      </w:r>
    </w:p>
    <w:p>
      <w:pPr>
        <w:pStyle w:val="ListBullet"/>
      </w:pPr>
      <w:r>
        <w:t>QA visual: revisar todas las diapositivas renderizadas y compararlas con la imagen base para confirmar que no se añadió ninguna máscara global innecesaria.</w:t>
      </w:r>
    </w:p>
    <w:p>
      <w:pPr>
        <w:pStyle w:val="ListBullet"/>
      </w:pPr>
      <w:r>
        <w:t>QA visual: verificar que el protagonista, el escenario y la evidencia didáctica sigan visibles.</w:t>
      </w:r>
    </w:p>
    <w:p>
      <w:pPr>
        <w:pStyle w:val="ListBullet"/>
      </w:pPr>
      <w:r>
        <w:t>QA visual: comprobar que el texto está contenido, legible y no se convirtió en cartel dominante.</w:t>
      </w:r>
    </w:p>
    <w:p>
      <w:pPr>
        <w:pStyle w:val="ListBullet"/>
      </w:pPr>
      <w:r>
        <w:t>QA funcional: abrir el PPTX en vista de notas y comprobar como mínimo la primera, una intermedia y la última diapositiva.</w:t>
      </w:r>
    </w:p>
    <w:p>
      <w:pPr>
        <w:pStyle w:val="ListBullet"/>
      </w:pPr>
      <w:r>
        <w:t>QA funcional: confirmar que las notas aparecen visualmente y que están en español, con inglés solo cuando corresponde.</w:t>
      </w:r>
    </w:p>
    <w:p>
      <w:pPr>
        <w:pStyle w:val="ListBullet"/>
      </w:pPr>
      <w:r>
        <w:t>QA funcional: comprobar que el PPTX abre correctamente y que no hay desbordes ni cortes.</w:t>
      </w:r>
    </w:p>
    <w:p>
      <w:pPr>
        <w:pStyle w:val="Heading1"/>
      </w:pPr>
      <w:r>
        <w:t>10. Criterio de rechazo</w:t>
      </w:r>
    </w:p>
    <w:p>
      <w:r>
        <w:t>La presentación se considera NO ENTREGABLE si ocurre cualquiera de las siguientes situaciones:</w:t>
      </w:r>
    </w:p>
    <w:p>
      <w:pPr>
        <w:pStyle w:val="ListBullet"/>
      </w:pPr>
      <w:r>
        <w:t>aparece una máscara global innecesaria sobre la imagen;</w:t>
      </w:r>
    </w:p>
    <w:p>
      <w:pPr>
        <w:pStyle w:val="ListBullet"/>
      </w:pPr>
      <w:r>
        <w:t>el protagonista o la evidencia visual quedan tapados;</w:t>
      </w:r>
    </w:p>
    <w:p>
      <w:pPr>
        <w:pStyle w:val="ListBullet"/>
      </w:pPr>
      <w:r>
        <w:t>las notas al orador no se ven al abrir el archivo;</w:t>
      </w:r>
    </w:p>
    <w:p>
      <w:pPr>
        <w:pStyle w:val="ListBullet"/>
      </w:pPr>
      <w:r>
        <w:t>las notas están vacías, en el idioma incorrecto o con placeholders;</w:t>
      </w:r>
    </w:p>
    <w:p>
      <w:pPr>
        <w:pStyle w:val="ListBullet"/>
      </w:pPr>
      <w:r>
        <w:t>el resultado no respeta la continuidad Gancho → Lección.</w:t>
      </w:r>
    </w:p>
    <w:p>
      <w:pPr>
        <w:pStyle w:val="Heading1"/>
      </w:pPr>
      <w:r>
        <w:t>11. Orden de trabajo obligatorio a partir de v1.3</w:t>
      </w:r>
    </w:p>
    <w:p>
      <w:pPr>
        <w:pStyle w:val="ListBullet"/>
      </w:pPr>
      <w:r>
        <w:t>Primero se actualiza la regla o plantilla si aparece un error sistémico.</w:t>
      </w:r>
    </w:p>
    <w:p>
      <w:pPr>
        <w:pStyle w:val="ListBullet"/>
      </w:pPr>
      <w:r>
        <w:t>Luego se corrige el OA afectado y se usa como estándar de referencia.</w:t>
      </w:r>
    </w:p>
    <w:p>
      <w:pPr>
        <w:pStyle w:val="ListBullet"/>
      </w:pPr>
      <w:r>
        <w:t>Solo después se avanza a los OA siguientes.</w:t>
      </w:r>
    </w:p>
    <w:p>
      <w:pPr>
        <w:pStyle w:val="Heading1"/>
      </w:pPr>
      <w:r>
        <w:t>12. Aplicación inmediata</w:t>
      </w:r>
    </w:p>
    <w:p>
      <w:r>
        <w:t>Esta versión 1.3 se aplicará inmediatamente al OA09 de Inglés para rehacer Gancho y Lección sin máscaras globales, con notas al orador visibles y en español.</w:t>
      </w:r>
    </w:p>
    <w:p>
      <w:r>
        <w:br w:type="page"/>
      </w:r>
    </w:p>
    <w:p>
      <w:pPr>
        <w:jc w:val="center"/>
      </w:pPr>
      <w:r>
        <w:rPr>
          <w:b/>
          <w:sz w:val="32"/>
        </w:rPr>
        <w:t>ACTUALIZACIÓN OPERATIVA · VERSIÓN 1.4</w:t>
      </w:r>
    </w:p>
    <w:p>
      <w:pPr>
        <w:jc w:val="center"/>
      </w:pPr>
      <w:r>
        <w:rPr>
          <w:i/>
          <w:sz w:val="22"/>
        </w:rPr>
        <w:t>Entrega descargable y verificación de paquetes ZIP</w:t>
      </w:r>
    </w:p>
    <w:p>
      <w:pPr>
        <w:pStyle w:val="Heading1"/>
      </w:pPr>
      <w:r>
        <w:t>13. Regla de entrega descargable</w:t>
      </w:r>
    </w:p>
    <w:p>
      <w:r>
        <w:t>Todo OA debe entregarse de forma que el usuario pueda descargar los archivos sin depender de un único paquete ZIP. La disponibilidad de descarga es parte de la QA técnica y no un detalle posterior.</w:t>
      </w:r>
    </w:p>
    <w:p>
      <w:pPr>
        <w:pStyle w:val="ListBullet"/>
      </w:pPr>
      <w:r>
        <w:t>Siempre se entrega el PPTX individual además del ZIP correspondiente.</w:t>
      </w:r>
    </w:p>
    <w:p>
      <w:pPr>
        <w:pStyle w:val="ListBullet"/>
      </w:pPr>
      <w:r>
        <w:t>Cuando exista Plan Maestro actualizado, se entrega también como archivo DOCX individual.</w:t>
      </w:r>
    </w:p>
    <w:p>
      <w:pPr>
        <w:pStyle w:val="ListBullet"/>
      </w:pPr>
      <w:r>
        <w:t>Los enlaces finales solo se publican después de verificar que los archivos existen físicamente en /mnt/data y pueden abrirse.</w:t>
      </w:r>
    </w:p>
    <w:p>
      <w:pPr>
        <w:pStyle w:val="ListBullet"/>
      </w:pPr>
      <w:r>
        <w:t>No se debe afirmar que un ZIP está listo si no se ha comprobado su integridad.</w:t>
      </w:r>
    </w:p>
    <w:p>
      <w:pPr>
        <w:pStyle w:val="Heading1"/>
      </w:pPr>
      <w:r>
        <w:t>14. Construcción obligatoria del ZIP</w:t>
      </w:r>
    </w:p>
    <w:p>
      <w:pPr>
        <w:pStyle w:val="ListBullet"/>
      </w:pPr>
      <w:r>
        <w:t>El ZIP debe usar estructura plana: PPTX, GUION.txt e imágenes slide-01.png, slide-02.png, etc., directamente en la raíz del paquete, salvo que el usuario solicite otra estructura.</w:t>
      </w:r>
    </w:p>
    <w:p>
      <w:pPr>
        <w:pStyle w:val="ListBullet"/>
      </w:pPr>
      <w:r>
        <w:t>No se incluyen carpetas temporales, renders de QA, montajes, archivos duplicados ni versiones antiguas.</w:t>
      </w:r>
    </w:p>
    <w:p>
      <w:pPr>
        <w:pStyle w:val="ListBullet"/>
      </w:pPr>
      <w:r>
        <w:t>No se incluyen archivos ocultos o metadatos innecesarios.</w:t>
      </w:r>
    </w:p>
    <w:p>
      <w:pPr>
        <w:pStyle w:val="ListBullet"/>
      </w:pPr>
      <w:r>
        <w:t>Los nombres deben ser cortos, estables y sin caracteres problemáticos.</w:t>
      </w:r>
    </w:p>
    <w:p>
      <w:pPr>
        <w:pStyle w:val="ListBullet"/>
      </w:pPr>
      <w:r>
        <w:t>El nombre base del ZIP debe coincidir con el nombre base del OA, por ejemplo 110-7-ING-OA09-GANCHO.zip.</w:t>
      </w:r>
    </w:p>
    <w:p>
      <w:pPr>
        <w:pStyle w:val="Heading1"/>
      </w:pPr>
      <w:r>
        <w:t>15. QA de integridad del ZIP</w:t>
      </w:r>
    </w:p>
    <w:p>
      <w:r>
        <w:t>Antes de entregar, cada ZIP debe pasar estas comprobaciones:</w:t>
      </w:r>
    </w:p>
    <w:p>
      <w:pPr>
        <w:pStyle w:val="ListBullet"/>
      </w:pPr>
      <w:r>
        <w:t>Abrir el ZIP programáticamente y listar su contenido.</w:t>
      </w:r>
    </w:p>
    <w:p>
      <w:pPr>
        <w:pStyle w:val="ListBullet"/>
      </w:pPr>
      <w:r>
        <w:t>Ejecutar prueba CRC/integridad sobre todos los archivos del paquete.</w:t>
      </w:r>
    </w:p>
    <w:p>
      <w:pPr>
        <w:pStyle w:val="ListBullet"/>
      </w:pPr>
      <w:r>
        <w:t>Confirmar que contiene exactamente el PPTX esperado, GUION.txt y todas las imágenes requeridas.</w:t>
      </w:r>
    </w:p>
    <w:p>
      <w:pPr>
        <w:pStyle w:val="ListBullet"/>
      </w:pPr>
      <w:r>
        <w:t>Confirmar que no falta ninguna diapositiva y que la numeración es continua.</w:t>
      </w:r>
    </w:p>
    <w:p>
      <w:pPr>
        <w:pStyle w:val="ListBullet"/>
      </w:pPr>
      <w:r>
        <w:t>Extraer el ZIP en una carpeta temporal y comprobar que el PPTX extraído abre correctamente.</w:t>
      </w:r>
    </w:p>
    <w:p>
      <w:pPr>
        <w:pStyle w:val="ListBullet"/>
      </w:pPr>
      <w:r>
        <w:t>Comprobar que el tamaño final del ZIP es razonable y no contiene duplicados innecesarios.</w:t>
      </w:r>
    </w:p>
    <w:p>
      <w:pPr>
        <w:pStyle w:val="Heading1"/>
      </w:pPr>
      <w:r>
        <w:t>16. Estrategia anti-fallo de descarga</w:t>
      </w:r>
    </w:p>
    <w:p>
      <w:pPr>
        <w:pStyle w:val="ListBullet"/>
      </w:pPr>
      <w:r>
        <w:t>Nunca se entrega solo el ZIP: el PPTX queda disponible como descarga alternativa inmediata.</w:t>
      </w:r>
    </w:p>
    <w:p>
      <w:pPr>
        <w:pStyle w:val="ListBullet"/>
      </w:pPr>
      <w:r>
        <w:t>Si el ZIP es grande, se prioriza compresión eficiente de PNG sin degradar legibilidad y se eliminan duplicados antes de empaquetar.</w:t>
      </w:r>
    </w:p>
    <w:p>
      <w:pPr>
        <w:pStyle w:val="ListBullet"/>
      </w:pPr>
      <w:r>
        <w:t>Si un ZIP presenta problemas de descarga, se regenera desde cero con un nombre limpio, se vuelve a validar y se entrega nuevamente; no se reutiliza un paquete dudoso.</w:t>
      </w:r>
    </w:p>
    <w:p>
      <w:pPr>
        <w:pStyle w:val="ListBullet"/>
      </w:pPr>
      <w:r>
        <w:t>La respuesta final debe incluir enlaces separados y claramente identificados para ZIP y PPTX, evitando enlaces ambiguos.</w:t>
      </w:r>
    </w:p>
    <w:p>
      <w:pPr>
        <w:pStyle w:val="ListBullet"/>
      </w:pPr>
      <w:r>
        <w:t>No se crean múltiples versiones con sufijos confusos en la misma entrega final. Solo se publica la versión aprobada.</w:t>
      </w:r>
    </w:p>
    <w:p>
      <w:pPr>
        <w:pStyle w:val="Heading1"/>
      </w:pPr>
      <w:r>
        <w:t>17. Criterio de rechazo por entrega</w:t>
      </w:r>
    </w:p>
    <w:p>
      <w:r>
        <w:t>El material se considera NO ENTREGABLE si ocurre cualquiera de estas situaciones:</w:t>
      </w:r>
    </w:p>
    <w:p>
      <w:pPr>
        <w:pStyle w:val="ListBullet"/>
      </w:pPr>
      <w:r>
        <w:t>el ZIP no supera la prueba de integridad;</w:t>
      </w:r>
    </w:p>
    <w:p>
      <w:pPr>
        <w:pStyle w:val="ListBullet"/>
      </w:pPr>
      <w:r>
        <w:t>el ZIP contiene archivos faltantes o nombres que no corresponden al guion;</w:t>
      </w:r>
    </w:p>
    <w:p>
      <w:pPr>
        <w:pStyle w:val="ListBullet"/>
      </w:pPr>
      <w:r>
        <w:t>el PPTX no está disponible como descarga individual;</w:t>
      </w:r>
    </w:p>
    <w:p>
      <w:pPr>
        <w:pStyle w:val="ListBullet"/>
      </w:pPr>
      <w:r>
        <w:t>el archivo enlazado no existe en la ruta final;</w:t>
      </w:r>
    </w:p>
    <w:p>
      <w:pPr>
        <w:pStyle w:val="ListBullet"/>
      </w:pPr>
      <w:r>
        <w:t>se entrega un paquete temporal, duplicado o con estructura innecesariamente compleja.</w:t>
      </w:r>
    </w:p>
    <w:p>
      <w:pPr>
        <w:pStyle w:val="Heading1"/>
      </w:pPr>
      <w:r>
        <w:t>18. Secuencia final de publicación</w:t>
      </w:r>
    </w:p>
    <w:p>
      <w:r>
        <w:t>La entrega final de cada Gancho o Lección seguirá obligatoriamente esta secuencia:</w:t>
      </w:r>
    </w:p>
    <w:p>
      <w:pPr>
        <w:pStyle w:val="ListBullet"/>
      </w:pPr>
      <w:r>
        <w:t>1) finalizar el PPTX;</w:t>
      </w:r>
    </w:p>
    <w:p>
      <w:pPr>
        <w:pStyle w:val="ListBullet"/>
      </w:pPr>
      <w:r>
        <w:t>2) verificar notas al orador y render visual;</w:t>
      </w:r>
    </w:p>
    <w:p>
      <w:pPr>
        <w:pStyle w:val="ListBullet"/>
      </w:pPr>
      <w:r>
        <w:t>3) generar GUION.txt e imágenes finales;</w:t>
      </w:r>
    </w:p>
    <w:p>
      <w:pPr>
        <w:pStyle w:val="ListBullet"/>
      </w:pPr>
      <w:r>
        <w:t>4) construir ZIP limpio desde cero;</w:t>
      </w:r>
    </w:p>
    <w:p>
      <w:pPr>
        <w:pStyle w:val="ListBullet"/>
      </w:pPr>
      <w:r>
        <w:t>5) validar ZIP por CRC y extracción de prueba;</w:t>
      </w:r>
    </w:p>
    <w:p>
      <w:pPr>
        <w:pStyle w:val="ListBullet"/>
      </w:pPr>
      <w:r>
        <w:t>6) verificar existencia y apertura del PPTX individual;</w:t>
      </w:r>
    </w:p>
    <w:p>
      <w:pPr>
        <w:pStyle w:val="ListBullet"/>
      </w:pPr>
      <w:r>
        <w:t>7) publicar enlaces separados al ZIP y al PPTX.</w:t>
      </w:r>
    </w:p>
    <w:p>
      <w:r>
        <w:br w:type="page"/>
      </w:r>
    </w:p>
    <w:p>
      <w:pPr>
        <w:pStyle w:val="Heading1"/>
      </w:pPr>
      <w:r>
        <w:t>ACTUALIZACIÓN OPERATIVA · VERSIÓN 1.5</w:t>
      </w:r>
    </w:p>
    <w:p>
      <w:r>
        <w:t>Esta actualización no modifica la arquitectura didáctica del Gancho ni de la Lección. Precisa la relación entre la imagen de fondo, la zona de texto y la evidencia visual para evitar que gráficos, íconos o recursos de la escena compitan con el contenido escrito. Se incorpora a partir de la revisión final del OA09 de Inglés y es obligatoria para los OA siguientes.</w:t>
      </w:r>
    </w:p>
    <w:p>
      <w:pPr>
        <w:pStyle w:val="Heading2"/>
      </w:pPr>
      <w:r>
        <w:t>1. Zonificación previa a la generación de imágenes</w:t>
      </w:r>
    </w:p>
    <w:p>
      <w:pPr>
        <w:pStyle w:val="ListBullet"/>
      </w:pPr>
      <w:r>
        <w:t>Antes de generar cada imagen se deben definir una zona de texto y una zona de evidencia visual.</w:t>
      </w:r>
    </w:p>
    <w:p>
      <w:pPr>
        <w:pStyle w:val="ListBullet"/>
      </w:pPr>
      <w:r>
        <w:t>La zona de texto debe contar con espacio negativo real, suficiente para título, subtítulo, cuerpo y etiqueta de paso.</w:t>
      </w:r>
    </w:p>
    <w:p>
      <w:pPr>
        <w:pStyle w:val="ListBullet"/>
      </w:pPr>
      <w:r>
        <w:t>La zona de evidencia debe conservar visible al protagonista, la acción, el objeto didáctico y el contexto narrativo.</w:t>
      </w:r>
    </w:p>
    <w:p>
      <w:pPr>
        <w:pStyle w:val="ListBullet"/>
      </w:pPr>
      <w:r>
        <w:t>Las dos zonas pueden convivir en una misma composición, pero no deben invadirse entre sí.</w:t>
      </w:r>
    </w:p>
    <w:p>
      <w:pPr>
        <w:pStyle w:val="Heading2"/>
      </w:pPr>
      <w:r>
        <w:t>2. Elementos prohibidos dentro de la zona de texto</w:t>
      </w:r>
    </w:p>
    <w:p>
      <w:pPr>
        <w:pStyle w:val="ListBullet"/>
      </w:pPr>
      <w:r>
        <w:t>No se deben generar dentro de la zona de texto íconos, notas adhesivas, barras decorativas, conectores, flechas, marcos, recuadros vacíos, diagramas o gráficos que compitan con la lectura.</w:t>
      </w:r>
    </w:p>
    <w:p>
      <w:pPr>
        <w:pStyle w:val="ListBullet"/>
      </w:pPr>
      <w:r>
        <w:t>Los elementos didácticos de la imagen no pueden quedar detrás de títulos, respuestas, explicaciones o etiquetas.</w:t>
      </w:r>
    </w:p>
    <w:p>
      <w:pPr>
        <w:pStyle w:val="ListBullet"/>
      </w:pPr>
      <w:r>
        <w:t>Si la imagen generada invade la zona de texto, se debe regenerar o editar el fondo; no se debe resolver agregando una máscara, placa oscura o panel global.</w:t>
      </w:r>
    </w:p>
    <w:p>
      <w:pPr>
        <w:pStyle w:val="Heading2"/>
      </w:pPr>
      <w:r>
        <w:t>3. Separación tipográfica y control de colisiones</w:t>
      </w:r>
    </w:p>
    <w:p>
      <w:pPr>
        <w:pStyle w:val="ListBullet"/>
      </w:pPr>
      <w:r>
        <w:t>Kicker, separador, título, subtítulo, cuerpo, respuesta, explicación y etiqueta de paso deben ocupar zonas verticales independientes.</w:t>
      </w:r>
    </w:p>
    <w:p>
      <w:pPr>
        <w:pStyle w:val="ListBullet"/>
      </w:pPr>
      <w:r>
        <w:t>Debe existir aire visual suficiente entre la respuesta destacada y su explicación; ninguna línea puede tocar, cruzar o superponerse con otra.</w:t>
      </w:r>
    </w:p>
    <w:p>
      <w:pPr>
        <w:pStyle w:val="ListBullet"/>
      </w:pPr>
      <w:r>
        <w:t>Los títulos deben mantenerse legibles y no deben competir con líneas, sombras o formas presentes en la imagen de fondo.</w:t>
      </w:r>
    </w:p>
    <w:p>
      <w:pPr>
        <w:pStyle w:val="ListBullet"/>
      </w:pPr>
      <w:r>
        <w:t>La jerarquía visual debe distinguir con claridad qué se observa, qué se responde y qué evidencia justifica la respuesta.</w:t>
      </w:r>
    </w:p>
    <w:p>
      <w:pPr>
        <w:pStyle w:val="Heading2"/>
      </w:pPr>
      <w:r>
        <w:t>4. Regla especial para diapositivas de modelado</w:t>
      </w:r>
    </w:p>
    <w:p>
      <w:pPr>
        <w:pStyle w:val="ListBullet"/>
      </w:pPr>
      <w:r>
        <w:t>Cuando se modela un ejemplo completo, la respuesta, la evidencia y la explicación deben poder leerse como unidades separadas.</w:t>
      </w:r>
    </w:p>
    <w:p>
      <w:pPr>
        <w:pStyle w:val="ListBullet"/>
      </w:pPr>
      <w:r>
        <w:t>La evidencia visual puede apoyar el razonamiento, pero nunca puede funcionar como fondo detrás de la respuesta escrita.</w:t>
      </w:r>
    </w:p>
    <w:p>
      <w:pPr>
        <w:pStyle w:val="ListBullet"/>
      </w:pPr>
      <w:r>
        <w:t>La composición debe permitir reconstruir el procedimiento sin que el estudiante tenga que separar mentalmente texto y decoración.</w:t>
      </w:r>
    </w:p>
    <w:p>
      <w:pPr>
        <w:pStyle w:val="Heading2"/>
      </w:pPr>
      <w:r>
        <w:t>5. QA visual específico por diapositiva</w:t>
      </w:r>
    </w:p>
    <w:p>
      <w:pPr>
        <w:pStyle w:val="ListBullet"/>
      </w:pPr>
      <w:r>
        <w:t>Revisar cada diapositiva renderizada a tamaño completo y en vista reducida.</w:t>
      </w:r>
    </w:p>
    <w:p>
      <w:pPr>
        <w:pStyle w:val="ListBullet"/>
      </w:pPr>
      <w:r>
        <w:t>Comprobar que no existan colisiones entre textos ni entre texto y elementos de la imagen.</w:t>
      </w:r>
    </w:p>
    <w:p>
      <w:pPr>
        <w:pStyle w:val="ListBullet"/>
      </w:pPr>
      <w:r>
        <w:t>Comprobar que el protagonista, la evidencia didáctica y el contexto permanezcan reconocibles.</w:t>
      </w:r>
    </w:p>
    <w:p>
      <w:pPr>
        <w:pStyle w:val="ListBullet"/>
      </w:pPr>
      <w:r>
        <w:t>Si falla una sola diapositiva, corregir únicamente la composición afectada, volver a renderizar el conjunto y repetir el control antes de crear el ZIP.</w:t>
      </w:r>
    </w:p>
    <w:p>
      <w:pPr>
        <w:pStyle w:val="Heading2"/>
      </w:pPr>
      <w:r>
        <w:t>6. Puerta de rechazo</w:t>
      </w:r>
    </w:p>
    <w:p>
      <w:r>
        <w:t>La diapositiva se considera NO ENTREGABLE si la zona textual contiene gráficos de fondo que compiten con la lectura, si una respuesta se superpone con su explicación, si la evidencia queda oculta o si la composición necesita una máscara global para volverse legible.</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sectPr w:rsidR="00FC693F" w:rsidRPr="0006063C" w:rsidSect="00034616">
      <w:headerReference w:type="default" r:id="rId9"/>
      <w:footerReference w:type="default" r:id="rId10"/>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Plan_Maestro_EstudioSimple_Ingles_7B_v1.0</dc:title>
  <dc:subject>Plan Maestro disciplinar EstudioSimple 7° Básico</dc:subject>
  <dc:creator>EstudioSimple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