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ING</w:t>
      </w:r>
    </w:p>
    <w:p>
      <w:pPr>
        <w:spacing w:before="0" w:after="80" w:line="240" w:lineRule="auto"/>
      </w:pPr>
      <w:r>
        <w:rPr>
          <w:rFonts w:ascii="Calibri" w:hAnsi="Calibri"/>
          <w:b/>
          <w:i w:val="0"/>
          <w:color w:val="0B2545"/>
          <w:sz w:val="52"/>
        </w:rPr>
        <w:t>PLAN MAESTRO · INGLÉS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ING.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ING</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1.6 · Trazabilidad curricular y coherencia entre lección y presentación</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Inglés.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ListBullet"/>
      </w:pPr>
      <w:r>
        <w:t>No se permite una máscara oscura dominante como recurso visual por defecto. Si la imagen ya contiene espacio negativo o una zona limpia, el texto debe ocupar ese espacio sin añadir una segunda capa que opaque la escena.</w:t>
      </w:r>
    </w:p>
    <w:p>
      <w:pPr>
        <w:pStyle w:val="ListBullet"/>
      </w:pPr>
      <w:r>
        <w:t>Cuando se requiera un panel para contraste, debe ser contenido, translúcido y funcional: no puede ocultar rostros, acciones, objetos clave ni evidencias visuales necesarias para comprender el paso conceptual.</w:t>
      </w:r>
    </w:p>
    <w:p>
      <w:pPr>
        <w:pStyle w:val="ListBullet"/>
      </w:pPr>
      <w:r>
        <w:t>La joven y el joven mantienen identidad visual consistente: edad aparente, rasgos, cabello y estilo. Ambos aparecen y participan en todas las diapositivas.</w:t>
      </w:r>
    </w:p>
    <w:p>
      <w:pPr>
        <w:pStyle w:val="ListBullet"/>
      </w:pPr>
      <w:r>
        <w:t>El color del texto secundario se elige según el fondo para lograr contraste claro; blanco, oscuro o neón son válidos si la lectura es inmediata.</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p>
      <w:pPr>
        <w:pStyle w:val="ListBullet"/>
      </w:pPr>
      <w:r>
        <w:t>Las notas al orador de cada diapositiva contienen la voz en off completa y se revisan dentro del PPTX.</w:t>
      </w:r>
    </w:p>
    <w:p>
      <w:pPr>
        <w:pStyle w:val="ListBullet"/>
      </w:pPr>
      <w:r>
        <w:t>Se rechaza cualquier PPTX cuyas notas estén vacías, contengan solo numeración, placeholders o errores de serialización como “[object Object]”.</w:t>
      </w:r>
    </w:p>
    <w:p>
      <w:pPr>
        <w:pStyle w:val="ListBullet"/>
      </w:pPr>
      <w:r>
        <w:t>Antes de entregar se verifica al menos la primera diapositiva, una diapositiva intermedia y la última en vista de notas; si una falla, se revisan todas.</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p>
      <w:pPr>
        <w:pStyle w:val="ListBullet"/>
      </w:pPr>
      <w:r>
        <w:t>El montaje completo de las diapositivas se revisa visualmente antes de entregar: ninguna capa, máscara o panel puede impedir ver con claridad la imagen y su evidencia pedagógica.</w:t>
      </w:r>
    </w:p>
    <w:p>
      <w:pPr>
        <w:pStyle w:val="ListBullet"/>
      </w:pPr>
      <w:r>
        <w:t>Las notas al orador de cada diapositiva contienen la voz en off completa y se revisan dentro del PPTX.</w:t>
      </w:r>
    </w:p>
    <w:p>
      <w:pPr>
        <w:pStyle w:val="ListBullet"/>
      </w:pPr>
      <w:r>
        <w:t>La revisión visual debe confirmar continuidad del protagonista, contraste correcto, ausencia de desbordes y que los paneles no se conviertan en carteles dominantes.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Inglés debe enseñar a comprender y producir mensajes en situaciones comunicativas. La Lección debe conectar significado, forma, pronunciación y uso. No basta con mostrar vocabulario o una regla gramatical aislada.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comprender el modelo, identificar el patrón, producir una respuesta semejante y usarlo en una situación nueva?</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de Inglés debe ser comunicativo y gradual: se presenta una situación, se comprende el mensaje, se identifica la expresión o estructura, se modela su uso, se practica con apoyo y se produce un mensaje propio.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el propósito comunicativo.</w:t>
            </w:r>
          </w:p>
        </w:tc>
        <w:tc>
          <w:tcPr>
            <w:tcW w:type="dxa" w:w="4210"/>
            <w:shd w:fill="F7FAFC"/>
          </w:tcPr>
          <w:p>
            <w:pPr>
              <w:spacing w:before="0" w:after="0" w:line="276" w:lineRule="auto"/>
            </w:pPr>
            <w:r>
              <w:rPr>
                <w:rFonts w:ascii="Calibri" w:hAnsi="Calibri"/>
                <w:b w:val="0"/>
                <w:i w:val="0"/>
                <w:color w:val="2D343C"/>
                <w:sz w:val="18"/>
              </w:rPr>
              <w:t>Imagen o diálogo con contexto, hablantes, intención y resultado esperado.</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Identificar palabras o expresiones clave.</w:t>
            </w:r>
          </w:p>
        </w:tc>
        <w:tc>
          <w:tcPr>
            <w:tcW w:type="dxa" w:w="4210"/>
            <w:shd w:fill="FFFFFF"/>
          </w:tcPr>
          <w:p>
            <w:pPr>
              <w:spacing w:before="0" w:after="0" w:line="276" w:lineRule="auto"/>
            </w:pPr>
            <w:r>
              <w:rPr>
                <w:rFonts w:ascii="Calibri" w:hAnsi="Calibri"/>
                <w:b w:val="0"/>
                <w:i w:val="0"/>
                <w:color w:val="2D343C"/>
                <w:sz w:val="18"/>
              </w:rPr>
              <w:t>Significado apoyado por contexto, no por una lista aislada.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Observar el patrón lingüístico.</w:t>
            </w:r>
          </w:p>
        </w:tc>
        <w:tc>
          <w:tcPr>
            <w:tcW w:type="dxa" w:w="4210"/>
            <w:shd w:fill="F7FAFC"/>
          </w:tcPr>
          <w:p>
            <w:pPr>
              <w:spacing w:before="0" w:after="0" w:line="276" w:lineRule="auto"/>
            </w:pPr>
            <w:r>
              <w:rPr>
                <w:rFonts w:ascii="Calibri" w:hAnsi="Calibri"/>
                <w:b w:val="0"/>
                <w:i w:val="0"/>
                <w:color w:val="2D343C"/>
                <w:sz w:val="18"/>
              </w:rPr>
              <w:t>Se destaca orden, forma verbal, auxiliar, pronombre o conector.</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Modelar la producción.</w:t>
            </w:r>
          </w:p>
        </w:tc>
        <w:tc>
          <w:tcPr>
            <w:tcW w:type="dxa" w:w="4210"/>
            <w:shd w:fill="FFFFFF"/>
          </w:tcPr>
          <w:p>
            <w:pPr>
              <w:spacing w:before="0" w:after="0" w:line="276" w:lineRule="auto"/>
            </w:pPr>
            <w:r>
              <w:rPr>
                <w:rFonts w:ascii="Calibri" w:hAnsi="Calibri"/>
                <w:b w:val="0"/>
                <w:i w:val="0"/>
                <w:color w:val="2D343C"/>
                <w:sz w:val="18"/>
              </w:rPr>
              <w:t>Se construye un ejemplo línea por línea y se explica su significado.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Practicar con sustitución y elección.</w:t>
            </w:r>
          </w:p>
        </w:tc>
        <w:tc>
          <w:tcPr>
            <w:tcW w:type="dxa" w:w="4210"/>
            <w:shd w:fill="F7FAFC"/>
          </w:tcPr>
          <w:p>
            <w:pPr>
              <w:spacing w:before="0" w:after="0" w:line="276" w:lineRule="auto"/>
            </w:pPr>
            <w:r>
              <w:rPr>
                <w:rFonts w:ascii="Calibri" w:hAnsi="Calibri"/>
                <w:b w:val="0"/>
                <w:i w:val="0"/>
                <w:color w:val="2D343C"/>
                <w:sz w:val="18"/>
              </w:rPr>
              <w:t>El estudiante cambia una parte manteniendo el patrón.</w:t>
            </w:r>
          </w:p>
        </w:tc>
      </w:tr>
      <w:tr>
        <w:tc>
          <w:tcPr>
            <w:tcW w:type="dxa" w:w="1250"/>
            <w:shd w:fill="FFFFFF"/>
          </w:tcPr>
          <w:p>
            <w:pPr>
              <w:spacing w:before="0" w:after="0" w:line="276" w:lineRule="auto"/>
            </w:pPr>
            <w:r>
              <w:rPr>
                <w:rFonts w:ascii="Calibri" w:hAnsi="Calibri"/>
                <w:b w:val="0"/>
                <w:i w:val="0"/>
                <w:color w:val="2D343C"/>
                <w:sz w:val="18"/>
              </w:rPr>
              <w:t>6</w:t>
            </w:r>
          </w:p>
        </w:tc>
        <w:tc>
          <w:tcPr>
            <w:tcW w:type="dxa" w:w="3900"/>
            <w:shd w:fill="FFFFFF"/>
          </w:tcPr>
          <w:p>
            <w:pPr>
              <w:spacing w:before="0" w:after="0" w:line="276" w:lineRule="auto"/>
            </w:pPr>
            <w:r>
              <w:rPr>
                <w:rFonts w:ascii="Calibri" w:hAnsi="Calibri"/>
                <w:b w:val="0"/>
                <w:i w:val="0"/>
                <w:color w:val="2D343C"/>
                <w:sz w:val="18"/>
              </w:rPr>
              <w:t>Usar el lenguaje en una situación nueva.</w:t>
            </w:r>
          </w:p>
        </w:tc>
        <w:tc>
          <w:tcPr>
            <w:tcW w:type="dxa" w:w="4210"/>
            <w:shd w:fill="FFFFFF"/>
          </w:tcPr>
          <w:p>
            <w:pPr>
              <w:spacing w:before="0" w:after="0" w:line="276" w:lineRule="auto"/>
            </w:pPr>
            <w:r>
              <w:rPr>
                <w:rFonts w:ascii="Calibri" w:hAnsi="Calibri"/>
                <w:b w:val="0"/>
                <w:i w:val="0"/>
                <w:color w:val="2D343C"/>
                <w:sz w:val="18"/>
              </w:rPr>
              <w:t>Mini diálogo, respuesta escrita o decisión comunicativa con feedback.</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completa un diálogo o texto con apoyos visuales y banco limitado de palabras.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significado, orden, forma y pronunciación; se explica el efecto comunicativo del error.</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interlocutor, propósito o contexto para verificar uso funcional, no memorización.</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Presentar vocabulario sin contexto comunicativo.</w:t>
      </w:r>
    </w:p>
    <w:p>
      <w:pPr>
        <w:pStyle w:val="ListBullet"/>
        <w:spacing w:before="0" w:after="80" w:line="300" w:lineRule="auto"/>
      </w:pPr>
      <w:r>
        <w:rPr>
          <w:rFonts w:ascii="Calibri" w:hAnsi="Calibri"/>
          <w:b w:val="0"/>
          <w:i w:val="0"/>
          <w:color w:val="232A32"/>
          <w:sz w:val="21"/>
        </w:rPr>
        <w:t>Explicar una regla en español sin mostrar su uso en un mensaje.</w:t>
      </w:r>
    </w:p>
    <w:p>
      <w:pPr>
        <w:pStyle w:val="ListBullet"/>
        <w:spacing w:before="0" w:after="80" w:line="300" w:lineRule="auto"/>
      </w:pPr>
      <w:r>
        <w:rPr>
          <w:rFonts w:ascii="Calibri" w:hAnsi="Calibri"/>
          <w:b w:val="0"/>
          <w:i w:val="0"/>
          <w:color w:val="232A32"/>
          <w:sz w:val="21"/>
        </w:rPr>
        <w:t>Pedir producción libre antes de modelar una respuesta.</w:t>
      </w:r>
    </w:p>
    <w:p>
      <w:pPr>
        <w:pStyle w:val="ListBullet"/>
        <w:spacing w:before="0" w:after="80" w:line="300" w:lineRule="auto"/>
      </w:pPr>
      <w:r>
        <w:rPr>
          <w:rFonts w:ascii="Calibri" w:hAnsi="Calibri"/>
          <w:b w:val="0"/>
          <w:i w:val="0"/>
          <w:color w:val="232A32"/>
          <w:sz w:val="21"/>
        </w:rPr>
        <w:t>Corregir solo la forma y no explicar el significado.</w:t>
      </w:r>
    </w:p>
    <w:p>
      <w:pPr>
        <w:pStyle w:val="ListBullet"/>
        <w:spacing w:before="0" w:after="80" w:line="300" w:lineRule="auto"/>
      </w:pPr>
      <w:r>
        <w:rPr>
          <w:rFonts w:ascii="Calibri" w:hAnsi="Calibri"/>
          <w:b w:val="0"/>
          <w:i w:val="0"/>
          <w:color w:val="232A32"/>
          <w:sz w:val="21"/>
        </w:rPr>
        <w:t>Usar diálogos artificiales sin propósito o situación reconocible.</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modelo incluye significado y forma.</w:t>
      </w:r>
    </w:p>
    <w:p>
      <w:pPr>
        <w:pStyle w:val="ListBullet"/>
        <w:spacing w:before="0" w:after="80" w:line="300" w:lineRule="auto"/>
      </w:pPr>
      <w:r>
        <w:rPr>
          <w:rFonts w:ascii="Calibri" w:hAnsi="Calibri"/>
          <w:b w:val="0"/>
          <w:i w:val="0"/>
          <w:color w:val="232A32"/>
          <w:sz w:val="21"/>
        </w:rPr>
        <w:t>El estudiante puede reutilizar el patrón con palabras nuevas.</w:t>
      </w:r>
    </w:p>
    <w:p>
      <w:pPr>
        <w:pStyle w:val="ListBullet"/>
        <w:spacing w:before="0" w:after="80" w:line="300" w:lineRule="auto"/>
      </w:pPr>
      <w:r>
        <w:rPr>
          <w:rFonts w:ascii="Calibri" w:hAnsi="Calibri"/>
          <w:b w:val="0"/>
          <w:i w:val="0"/>
          <w:color w:val="232A32"/>
          <w:sz w:val="21"/>
        </w:rPr>
        <w:t>La práctica avanza de controlada a comunicativa.</w:t>
      </w:r>
    </w:p>
    <w:p>
      <w:pPr>
        <w:pStyle w:val="ListBullet"/>
        <w:spacing w:before="0" w:after="80" w:line="300" w:lineRule="auto"/>
      </w:pPr>
      <w:r>
        <w:rPr>
          <w:rFonts w:ascii="Calibri" w:hAnsi="Calibri"/>
          <w:b w:val="0"/>
          <w:i w:val="0"/>
          <w:color w:val="232A32"/>
          <w:sz w:val="21"/>
        </w:rPr>
        <w:t>El feedback diferencia error de significado, forma, orden y pronunciación.</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r>
              <w:t>FÓRMULA DE APROBACIÓN  Meta clara + ejemplo completo + práctica guiada + respuesta + feedback + transferencia + imagen visible y funcional + notas al orador reales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pPr>
        <w:pStyle w:val="Heading1"/>
      </w:pPr>
      <w:r>
        <w:t>15. Regla bloqueante de diseño visual y notas al orador</w:t>
      </w:r>
    </w:p>
    <w:p>
      <w:r>
        <w:t>Cada presentación se entrega como un único PPTX con una imagen por diapositiva y notas al orador; se abre, renderiza y verifica antes de entregar.</w:t>
      </w:r>
    </w:p>
    <w:p>
      <w:pPr>
        <w:pStyle w:val="ListBullet"/>
      </w:pPr>
      <w:r>
        <w:t>Sistema preferente: split layout limpio. La imagen y el texto deben disponer de áreas propias; si existe espacio negativo, se aprovecha sin añadir una máscara oscura adicional.</w:t>
      </w:r>
    </w:p>
    <w:p>
      <w:pPr>
        <w:pStyle w:val="ListBullet"/>
      </w:pPr>
      <w:r>
        <w:t>Overlay controlado: solo se utiliza cuando sea necesario para legibilidad. Debe ser liviano y localizado; nunca debe cubrir al protagonista ni la evidencia visual principal.</w:t>
      </w:r>
    </w:p>
    <w:p>
      <w:pPr>
        <w:pStyle w:val="ListBullet"/>
      </w:pPr>
      <w:r>
        <w:t>Prohibición: no se permite una placa oscura semitransparente que cubra aproximadamente media diapositiva con alta opacidad y reduzca sustancialmente la lectura de la escena.</w:t>
      </w:r>
    </w:p>
    <w:p>
      <w:pPr>
        <w:pStyle w:val="ListBullet"/>
      </w:pPr>
      <w:r>
        <w:t>QA de contraste: cada diapositiva se revisa renderizada. Debe poder leerse el texto y, al mismo tiempo, reconocerse con claridad la escena, el protagonista y los elementos didácticos.</w:t>
      </w:r>
    </w:p>
    <w:p>
      <w:pPr>
        <w:pStyle w:val="ListBullet"/>
      </w:pPr>
      <w:r>
        <w:t>QA de continuidad: el protagonista del Gancho se conserva en la Lección y mantiene edad aparente, rasgos, tono de piel, cabello y elementos de identidad visual, salvo cambio narrativo explícitamente justificado.</w:t>
      </w:r>
    </w:p>
    <w:p>
      <w:pPr>
        <w:pStyle w:val="ListBullet"/>
      </w:pPr>
      <w:r>
        <w:t>QA de notas: las notas se inspeccionan dentro del PPTX. El guion debe ser texto real, legible y completo. “[object Object]”, notas vacías o numeración aislada provocan rechazo automático.</w:t>
      </w:r>
    </w:p>
    <w:p>
      <w:pPr>
        <w:pStyle w:val="ListBullet"/>
      </w:pPr>
      <w:r>
        <w:t>Las notas al orador de cada diapositiva contienen la voz en off completa y se revisan dentro del PPTX.</w:t>
      </w:r>
    </w:p>
    <w:p>
      <w:pPr>
        <w:pStyle w:val="ListBullet"/>
      </w:pPr>
      <w:r>
        <w:t>Las notas al orador de cada diapositiva contienen la voz en off completa y se revisan dentro del PPTX.</w:t>
      </w:r>
    </w:p>
    <w:tbl>
      <w:tblPr>
        <w:tblW w:type="auto" w:w="0"/>
        <w:tblLook w:firstColumn="1" w:firstRow="1" w:lastColumn="0" w:lastRow="0" w:noHBand="0" w:noVBand="1" w:val="04A0"/>
      </w:tblPr>
      <w:tblGrid>
        <w:gridCol w:w="9360"/>
      </w:tblGrid>
      <w:tr>
        <w:tc>
          <w:tcPr>
            <w:tcW w:type="dxa" w:w="9360"/>
          </w:tcPr>
          <w:p>
            <w:r>
              <w:t>Entrega: un PPTX por presentación, sin archivos separados.</w:t>
            </w:r>
          </w:p>
        </w:tc>
      </w:tr>
    </w:tbl>
    <w:p>
      <w:r>
        <w:br w:type="page"/>
      </w:r>
    </w:p>
    <w:p>
      <w:pPr>
        <w:jc w:val="center"/>
      </w:pPr>
      <w:r>
        <w:rPr>
          <w:b/>
          <w:sz w:val="32"/>
        </w:rPr>
        <w:t>ACTUALIZACIÓN CRÍTICA · VERSIÓN 1.3</w:t>
      </w:r>
    </w:p>
    <w:p>
      <w:pPr>
        <w:jc w:val="center"/>
      </w:pPr>
      <w:r>
        <w:rPr>
          <w:i/>
          <w:sz w:val="22"/>
        </w:rPr>
        <w:t>Corrección obligatoria del sistema visual, las notas al orador y la QA final</w:t>
      </w:r>
    </w:p>
    <w:p>
      <w:pPr>
        <w:pStyle w:val="Heading1"/>
      </w:pPr>
      <w:r>
        <w:t>1. Propósito de esta actualización</w:t>
      </w:r>
    </w:p>
    <w:p>
      <w:r>
        <w:t>Esta versión 1.3 corrige fallos detectados en la producción del OA09 de Inglés. Las reglas de este anexo son obligatorias y reemplazan cualquier práctica anterior que permita máscaras globales, notas al orador incompletas o verificaciones solo técnicas.</w:t>
      </w:r>
    </w:p>
    <w:p>
      <w:pPr>
        <w:pStyle w:val="Heading1"/>
      </w:pPr>
      <w:r>
        <w:t>2. Regla visual principal: prohibición de máscaras globales</w:t>
      </w:r>
    </w:p>
    <w:p>
      <w:r>
        <w:t>Queda estrictamente prohibido colocar rectángulos, overlays, gradientes o máscaras oscuras que cubran una parte significativa de la imagen para alojar texto.</w:t>
      </w:r>
    </w:p>
    <w:p>
      <w:pPr>
        <w:pStyle w:val="ListBullet"/>
      </w:pPr>
      <w:r>
        <w:t>No se permiten paneles oscuros de media diapositiva ni bloques dominantes sobre la escena.</w:t>
      </w:r>
    </w:p>
    <w:p>
      <w:pPr>
        <w:pStyle w:val="ListBullet"/>
      </w:pPr>
      <w:r>
        <w:t>La imagen debe permanecer visible, limpia y pedagógicamente funcional.</w:t>
      </w:r>
    </w:p>
    <w:p>
      <w:pPr>
        <w:pStyle w:val="ListBullet"/>
      </w:pPr>
      <w:r>
        <w:t>No se debe “bajar la opacidad” de una máscara si la máscara no es necesaria. En ese caso, se elimina.</w:t>
      </w:r>
    </w:p>
    <w:p>
      <w:pPr>
        <w:pStyle w:val="Heading1"/>
      </w:pPr>
      <w:r>
        <w:t>3. Sistema de composición obligatorio</w:t>
      </w:r>
    </w:p>
    <w:p>
      <w:r>
        <w:t>Las diapositivas deben construirse con la lógica de “imagen con espacio negativo” y no con la lógica de “imagen tapada por panel”.</w:t>
      </w:r>
    </w:p>
    <w:p>
      <w:pPr>
        <w:pStyle w:val="ListBullet"/>
      </w:pPr>
      <w:r>
        <w:t>La imagen final debe generarse o seleccionarse con espacio negativo suficiente para alojar títulos y textos breves.</w:t>
      </w:r>
    </w:p>
    <w:p>
      <w:pPr>
        <w:pStyle w:val="ListBullet"/>
      </w:pPr>
      <w:r>
        <w:t>El texto debe ubicarse directamente en el espacio negativo de la composición.</w:t>
      </w:r>
    </w:p>
    <w:p>
      <w:pPr>
        <w:pStyle w:val="ListBullet"/>
      </w:pPr>
      <w:r>
        <w:t>Solo se permiten etiquetas locales pequeñas si una frase puntual necesita contraste extra.</w:t>
      </w:r>
    </w:p>
    <w:p>
      <w:pPr>
        <w:pStyle w:val="ListBullet"/>
      </w:pPr>
      <w:r>
        <w:t>Las etiquetas locales deben ajustarse estrictamente al texto y no invadir el escenario ni al protagonista.</w:t>
      </w:r>
    </w:p>
    <w:p>
      <w:pPr>
        <w:pStyle w:val="Heading1"/>
      </w:pPr>
      <w:r>
        <w:t>4. Criterios de contraste y legibilidad</w:t>
      </w:r>
    </w:p>
    <w:p>
      <w:pPr>
        <w:pStyle w:val="ListBullet"/>
      </w:pPr>
      <w:r>
        <w:t>Si el fondo es claro, se prefiere texto oscuro.</w:t>
      </w:r>
    </w:p>
    <w:p>
      <w:pPr>
        <w:pStyle w:val="ListBullet"/>
      </w:pPr>
      <w:r>
        <w:t>Si el fondo es oscuro, se prefiere texto blanco.</w:t>
      </w:r>
    </w:p>
    <w:p>
      <w:pPr>
        <w:pStyle w:val="ListBullet"/>
      </w:pPr>
      <w:r>
        <w:t>El contraste se resuelve primero con composición y color tipográfico; solo en último caso con una etiqueta local.</w:t>
      </w:r>
    </w:p>
    <w:p>
      <w:pPr>
        <w:pStyle w:val="ListBullet"/>
      </w:pPr>
      <w:r>
        <w:t>No se utilizarán colores de bajo contraste que comprometan la lectura.</w:t>
      </w:r>
    </w:p>
    <w:p>
      <w:pPr>
        <w:pStyle w:val="Heading1"/>
      </w:pPr>
      <w:r>
        <w:t>5. Regla de visibilidad pedagógica</w:t>
      </w:r>
    </w:p>
    <w:p>
      <w:r>
        <w:t>Toda diapositiva debe permitir reconocer con claridad el protagonista, la acción, el contexto y la evidencia visual que apoya el aprendizaje.</w:t>
      </w:r>
    </w:p>
    <w:p>
      <w:pPr>
        <w:pStyle w:val="ListBullet"/>
      </w:pPr>
      <w:r>
        <w:t>Si el texto o un contenedor tapa el rostro del protagonista, la diapositiva se considera fallida.</w:t>
      </w:r>
    </w:p>
    <w:p>
      <w:pPr>
        <w:pStyle w:val="ListBullet"/>
      </w:pPr>
      <w:r>
        <w:t>Si el texto tapa la evidencia conceptual o el recurso visual principal, la diapositiva se considera fallida.</w:t>
      </w:r>
    </w:p>
    <w:p>
      <w:pPr>
        <w:pStyle w:val="ListBullet"/>
      </w:pPr>
      <w:r>
        <w:t>La imagen debe “respirar”: no puede sentirse aprisionada por carteles, recuadros o placas innecesarias.</w:t>
      </w:r>
    </w:p>
    <w:p>
      <w:pPr>
        <w:pStyle w:val="Heading1"/>
      </w:pPr>
      <w:r>
        <w:t>6. Continuidad visual obligatoria</w:t>
      </w:r>
    </w:p>
    <w:p>
      <w:r>
        <w:t>Entre Gancho y Lección debe mantenerse el mismo protagonista del OA, salvo instrucción explícita en contrario.</w:t>
      </w:r>
    </w:p>
    <w:p>
      <w:pPr>
        <w:pStyle w:val="ListBullet"/>
      </w:pPr>
      <w:r>
        <w:t>La continuidad se revisa en identidad general, colorimetría, edad aparente, vestuario base y rol narrativo.</w:t>
      </w:r>
    </w:p>
    <w:p>
      <w:pPr>
        <w:pStyle w:val="ListBullet"/>
      </w:pPr>
      <w:r>
        <w:t>La joven y el joven permanecen como dupla protagonista en todas las presentaciones y conservan su identidad visual; pueden cambiar el contexto y el vestuario funcional.</w:t>
      </w:r>
    </w:p>
    <w:p>
      <w:pPr>
        <w:pStyle w:val="Heading1"/>
      </w:pPr>
      <w:r>
        <w:t>7. Notas al orador: idioma y función</w:t>
      </w:r>
    </w:p>
    <w:p>
      <w:r>
        <w:t>Las notas al orador son obligatorias en todas las presentaciones y constituyen el guion pedagógico completo para audio o locución.</w:t>
      </w:r>
    </w:p>
    <w:p>
      <w:pPr>
        <w:pStyle w:val="ListBullet"/>
      </w:pPr>
      <w:r>
        <w:t>Las notas deben estar redactadas principalmente en español.</w:t>
      </w:r>
    </w:p>
    <w:p>
      <w:pPr>
        <w:pStyle w:val="ListBullet"/>
      </w:pPr>
      <w:r>
        <w:t>El inglés se incorpora solo cuando sea necesario para el aprendizaje de la asignatura.</w:t>
      </w:r>
    </w:p>
    <w:p>
      <w:pPr>
        <w:pStyle w:val="ListBullet"/>
      </w:pPr>
      <w:r>
        <w:t>El guion debe explicar lo que se observa, qué se espera que piense o responda el estudiante y cómo se conecta con la diapositiva siguiente.</w:t>
      </w:r>
    </w:p>
    <w:p>
      <w:pPr>
        <w:pStyle w:val="ListBullet"/>
      </w:pPr>
      <w:r>
        <w:t>Las notas al orador de cada diapositiva contienen la voz en off completa y se revisan dentro del PPTX.</w:t>
      </w:r>
    </w:p>
    <w:p>
      <w:pPr>
        <w:pStyle w:val="Heading1"/>
      </w:pPr>
      <w:r>
        <w:t>8. Prohibiciones absolutas en notas al orador</w:t>
      </w:r>
    </w:p>
    <w:p>
      <w:pPr>
        <w:pStyle w:val="ListBullet"/>
      </w:pPr>
      <w:r>
        <w:t>No se entregan notas vacías.</w:t>
      </w:r>
    </w:p>
    <w:p>
      <w:pPr>
        <w:pStyle w:val="ListBullet"/>
      </w:pPr>
      <w:r>
        <w:t>No se entregan notas solo con numeración.</w:t>
      </w:r>
    </w:p>
    <w:p>
      <w:pPr>
        <w:pStyle w:val="ListBullet"/>
      </w:pPr>
      <w:r>
        <w:t>No se aceptan placeholders ni errores como “[object Object]”.</w:t>
      </w:r>
    </w:p>
    <w:p>
      <w:pPr>
        <w:pStyle w:val="ListBullet"/>
      </w:pPr>
      <w:r>
        <w:t>No se aceptan notas completas en inglés si la función es de guion pedagógico general.</w:t>
      </w:r>
    </w:p>
    <w:p>
      <w:pPr>
        <w:pStyle w:val="Heading1"/>
      </w:pPr>
      <w:r>
        <w:t>9. QA obligatoria antes de entregar</w:t>
      </w:r>
    </w:p>
    <w:p>
      <w:r>
        <w:t>La revisión final tiene dos puertas obligatorias: visual y funcional.</w:t>
      </w:r>
    </w:p>
    <w:p>
      <w:pPr>
        <w:pStyle w:val="ListBullet"/>
      </w:pPr>
      <w:r>
        <w:t>QA visual: revisar todas las diapositivas renderizadas y compararlas con la imagen base para confirmar que no se añadió ninguna máscara global innecesaria.</w:t>
      </w:r>
    </w:p>
    <w:p>
      <w:pPr>
        <w:pStyle w:val="ListBullet"/>
      </w:pPr>
      <w:r>
        <w:t>QA visual: verificar que el protagonista, el escenario y la evidencia didáctica sigan visibles.</w:t>
      </w:r>
    </w:p>
    <w:p>
      <w:pPr>
        <w:pStyle w:val="ListBullet"/>
      </w:pPr>
      <w:r>
        <w:t>QA visual: comprobar que el texto está contenido, legible y no se convirtió en cartel dominante.</w:t>
      </w:r>
    </w:p>
    <w:p>
      <w:pPr>
        <w:pStyle w:val="ListBullet"/>
      </w:pPr>
      <w:r>
        <w:t>QA funcional: abrir el PPTX en vista de notas y comprobar como mínimo la primera, una intermedia y la última diapositiva.</w:t>
      </w:r>
    </w:p>
    <w:p>
      <w:pPr>
        <w:pStyle w:val="ListBullet"/>
      </w:pPr>
      <w:r>
        <w:t>QA funcional: confirmar que las notas aparecen visualmente y que están en español, con inglés solo cuando corresponde.</w:t>
      </w:r>
    </w:p>
    <w:p>
      <w:pPr>
        <w:pStyle w:val="ListBullet"/>
      </w:pPr>
      <w:r>
        <w:t>QA funcional: comprobar que el PPTX abre correctamente y que no hay desbordes ni cortes.</w:t>
      </w:r>
    </w:p>
    <w:p>
      <w:pPr>
        <w:pStyle w:val="Heading1"/>
      </w:pPr>
      <w:r>
        <w:t>10. Criterio de rechazo</w:t>
      </w:r>
    </w:p>
    <w:p>
      <w:r>
        <w:t>La presentación se considera NO ENTREGABLE si ocurre cualquiera de las siguientes situaciones:</w:t>
      </w:r>
    </w:p>
    <w:p>
      <w:pPr>
        <w:pStyle w:val="ListBullet"/>
      </w:pPr>
      <w:r>
        <w:t>aparece una máscara global innecesaria sobre la imagen;</w:t>
      </w:r>
    </w:p>
    <w:p>
      <w:pPr>
        <w:pStyle w:val="ListBullet"/>
      </w:pPr>
      <w:r>
        <w:t>el protagonista o la evidencia visual quedan tapados;</w:t>
      </w:r>
    </w:p>
    <w:p>
      <w:pPr>
        <w:pStyle w:val="ListBullet"/>
      </w:pPr>
      <w:r>
        <w:t>las notas al orador no se ven al abrir el archivo;</w:t>
      </w:r>
    </w:p>
    <w:p>
      <w:pPr>
        <w:pStyle w:val="ListBullet"/>
      </w:pPr>
      <w:r>
        <w:t>las notas están vacías, en el idioma incorrecto o con placeholders;</w:t>
      </w:r>
    </w:p>
    <w:p>
      <w:pPr>
        <w:pStyle w:val="ListBullet"/>
      </w:pPr>
      <w:r>
        <w:t>el resultado no respeta la continuidad Gancho → Lección.</w:t>
      </w:r>
    </w:p>
    <w:p>
      <w:pPr>
        <w:pStyle w:val="Heading1"/>
      </w:pPr>
      <w:r>
        <w:t>11. Orden de trabajo obligatorio a partir de v1.3</w:t>
      </w:r>
    </w:p>
    <w:p>
      <w:pPr>
        <w:pStyle w:val="ListBullet"/>
      </w:pPr>
      <w:r>
        <w:t>Primero se actualiza la regla o plantilla si aparece un error sistémico.</w:t>
      </w:r>
    </w:p>
    <w:p>
      <w:pPr>
        <w:pStyle w:val="ListBullet"/>
      </w:pPr>
      <w:r>
        <w:t>Luego se corrige el OA afectado y se usa como estándar de referencia.</w:t>
      </w:r>
    </w:p>
    <w:p>
      <w:pPr>
        <w:pStyle w:val="ListBullet"/>
      </w:pPr>
      <w:r>
        <w:t>Solo después se avanza a los OA siguientes.</w:t>
      </w:r>
    </w:p>
    <w:p>
      <w:pPr>
        <w:pStyle w:val="Heading1"/>
      </w:pPr>
      <w:r>
        <w:t>12. Aplicación inmediata</w:t>
      </w:r>
    </w:p>
    <w:p>
      <w:r>
        <w:t>Esta versión 1.3 se aplicará inmediatamente al OA09 de Inglés para rehacer Gancho y Lección sin máscaras globales, con notas al orador visibles y en español.</w:t>
      </w:r>
    </w:p>
    <w:p>
      <w:r>
        <w:br w:type="page"/>
      </w:r>
    </w:p>
    <w:p>
      <w:pPr>
        <w:pStyle w:val="Heading2"/>
      </w:pPr>
      <w:r>
        <w:t>13. Entrega y validación del PPTX</w:t>
      </w:r>
    </w:p>
    <w:p>
      <w:pPr/>
      <w:r>
        <w:t>Cada Gancho y cada presentación explicativa se entrega como un único PPTX con una imagen por diapositiva y notas al orador integradas.</w:t>
      </w:r>
    </w:p>
    <w:p>
      <w:pPr/>
      <w:r>
        <w:t>Antes de entregar, abrir y renderizar el archivo, revisar la voz en off y confirmar que el enlace persistente corresponde al PPTX validado. No se entregan archivos separados.</w:t>
      </w:r>
    </w:p>
    <w:p>
      <w:pPr>
        <w:pStyle w:val="Heading1"/>
      </w:pPr>
      <w:r>
        <w:t>ACTUALIZACIÓN OPERATIVA · VERSIÓN 1.5</w:t>
      </w:r>
    </w:p>
    <w:p>
      <w:r>
        <w:t>Esta actualización no modifica la arquitectura didáctica del Gancho ni de la Lección. Precisa la relación entre la imagen de fondo, la zona de texto y la evidencia visual para evitar que gráficos, íconos o recursos de la escena compitan con el contenido escrito. Se incorpora a partir de la revisión final del OA09 de Inglés y es obligatoria para los OA siguientes.</w:t>
      </w:r>
    </w:p>
    <w:p>
      <w:pPr>
        <w:pStyle w:val="Heading2"/>
      </w:pPr>
      <w:r>
        <w:t>1. Zonificación previa a la generación de imágenes</w:t>
      </w:r>
    </w:p>
    <w:p>
      <w:pPr>
        <w:pStyle w:val="ListBullet"/>
      </w:pPr>
      <w:r>
        <w:t>Antes de generar cada imagen se deben definir una zona de texto y una zona de evidencia visual.</w:t>
      </w:r>
    </w:p>
    <w:p>
      <w:pPr>
        <w:pStyle w:val="ListBullet"/>
      </w:pPr>
      <w:r>
        <w:t>La zona de texto debe contar con espacio negativo real, suficiente para título, subtítulo, cuerpo y etiqueta de paso.</w:t>
      </w:r>
    </w:p>
    <w:p>
      <w:pPr>
        <w:pStyle w:val="ListBullet"/>
      </w:pPr>
      <w:r>
        <w:t>La zona de evidencia debe conservar visible al protagonista, la acción, el objeto didáctico y el contexto narrativo.</w:t>
      </w:r>
    </w:p>
    <w:p>
      <w:pPr>
        <w:pStyle w:val="ListBullet"/>
      </w:pPr>
      <w:r>
        <w:t>Las dos zonas pueden convivir en una misma composición, pero no deben invadirse entre sí.</w:t>
      </w:r>
    </w:p>
    <w:p>
      <w:pPr>
        <w:pStyle w:val="Heading2"/>
      </w:pPr>
      <w:r>
        <w:t>2. Elementos prohibidos dentro de la zona de texto</w:t>
      </w:r>
    </w:p>
    <w:p>
      <w:pPr>
        <w:pStyle w:val="ListBullet"/>
      </w:pPr>
      <w:r>
        <w:t>No se deben generar dentro de la zona de texto íconos, notas adhesivas, barras decorativas, conectores, flechas, marcos, recuadros vacíos, diagramas o gráficos que compitan con la lectura.</w:t>
      </w:r>
    </w:p>
    <w:p>
      <w:pPr>
        <w:pStyle w:val="ListBullet"/>
      </w:pPr>
      <w:r>
        <w:t>Los elementos didácticos de la imagen no pueden quedar detrás de títulos, respuestas, explicaciones o etiquetas.</w:t>
      </w:r>
    </w:p>
    <w:p>
      <w:pPr>
        <w:pStyle w:val="ListBullet"/>
      </w:pPr>
      <w:r>
        <w:t>Si la imagen generada invade la zona de texto, se debe regenerar o editar el fondo; no se debe resolver agregando una máscara, placa oscura o panel global.</w:t>
      </w:r>
    </w:p>
    <w:p>
      <w:pPr>
        <w:pStyle w:val="Heading2"/>
      </w:pPr>
      <w:r>
        <w:t>3. Separación tipográfica y control de colisiones</w:t>
      </w:r>
    </w:p>
    <w:p>
      <w:pPr>
        <w:pStyle w:val="ListBullet"/>
      </w:pPr>
      <w:r>
        <w:t>Kicker, separador, título, subtítulo, cuerpo, respuesta, explicación y etiqueta de paso deben ocupar zonas verticales independientes.</w:t>
      </w:r>
    </w:p>
    <w:p>
      <w:pPr>
        <w:pStyle w:val="ListBullet"/>
      </w:pPr>
      <w:r>
        <w:t>Debe existir aire visual suficiente entre la respuesta destacada y su explicación; ninguna línea puede tocar, cruzar o superponerse con otra.</w:t>
      </w:r>
    </w:p>
    <w:p>
      <w:pPr>
        <w:pStyle w:val="ListBullet"/>
      </w:pPr>
      <w:r>
        <w:t>Los títulos deben mantenerse legibles y no deben competir con líneas, sombras o formas presentes en la imagen de fondo.</w:t>
      </w:r>
    </w:p>
    <w:p>
      <w:pPr>
        <w:pStyle w:val="ListBullet"/>
      </w:pPr>
      <w:r>
        <w:t>La jerarquía visual debe distinguir con claridad qué se observa, qué se responde y qué evidencia justifica la respuesta.</w:t>
      </w:r>
    </w:p>
    <w:p>
      <w:pPr>
        <w:pStyle w:val="Heading2"/>
      </w:pPr>
      <w:r>
        <w:t>4. Regla especial para diapositivas de modelado</w:t>
      </w:r>
    </w:p>
    <w:p>
      <w:pPr>
        <w:pStyle w:val="ListBullet"/>
      </w:pPr>
      <w:r>
        <w:t>Cuando se modela un ejemplo completo, la respuesta, la evidencia y la explicación deben poder leerse como unidades separadas.</w:t>
      </w:r>
    </w:p>
    <w:p>
      <w:pPr>
        <w:pStyle w:val="ListBullet"/>
      </w:pPr>
      <w:r>
        <w:t>La evidencia visual puede apoyar el razonamiento, pero nunca puede funcionar como fondo detrás de la respuesta escrita.</w:t>
      </w:r>
    </w:p>
    <w:p>
      <w:pPr>
        <w:pStyle w:val="ListBullet"/>
      </w:pPr>
      <w:r>
        <w:t>La composición debe permitir reconstruir el procedimiento sin que el estudiante tenga que separar mentalmente texto y decoración.</w:t>
      </w:r>
    </w:p>
    <w:p>
      <w:pPr>
        <w:pStyle w:val="Heading2"/>
      </w:pPr>
      <w:r>
        <w:t>5. QA visual específico por diapositiva</w:t>
      </w:r>
    </w:p>
    <w:p>
      <w:pPr>
        <w:pStyle w:val="ListBullet"/>
      </w:pPr>
      <w:r>
        <w:t>Revisar cada diapositiva renderizada a tamaño completo y en vista reducida.</w:t>
      </w:r>
    </w:p>
    <w:p>
      <w:pPr>
        <w:pStyle w:val="ListBullet"/>
      </w:pPr>
      <w:r>
        <w:t>Comprobar que no existan colisiones entre textos ni entre texto y elementos de la imagen.</w:t>
      </w:r>
    </w:p>
    <w:p>
      <w:pPr>
        <w:pStyle w:val="ListBullet"/>
      </w:pPr>
      <w:r>
        <w:t>Comprobar que el protagonista, la evidencia didáctica y el contexto permanezcan reconocibles.</w:t>
      </w:r>
    </w:p>
    <w:p>
      <w:pPr>
        <w:pStyle w:val="ListBullet"/>
      </w:pPr>
      <w:r>
        <w:t>Cada presentación se entrega como un único PPTX con una imagen por diapositiva y notas al orador; se abre, renderiza y verifica antes de entregar.</w:t>
      </w:r>
    </w:p>
    <w:p>
      <w:pPr>
        <w:pStyle w:val="Heading2"/>
      </w:pPr>
      <w:r>
        <w:t>6. Puerta de rechazo</w:t>
      </w:r>
    </w:p>
    <w:p>
      <w:r>
        <w:t>La diapositiva se considera NO ENTREGABLE si la zona textual contiene gráficos de fondo que compiten con la lectura, si una respuesta se superpone con su explicación, si la evidencia queda oculta o si la composición necesita una máscara global para volverse legible.</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aprobar el PPTX, Codex mantiene una correspondencia interna entre cada diapositiva y la sección, actividad o ejemplo de la lección que representa. Esta comprobación es evidencia de control interno y no agrega archivos al entregable.</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Inglés, comprobar que el vocabulario, las formas gramaticales, las expresiones modelo, la intención comunicativa y sus significados coinciden con la lección; el apoyo en español debe aclarar el contenido sin sustituir ni contradecir el uso trabajado.</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errores confirmados por Codex se comparten con Antigravity para incorporarlos al agente como casos de regresión. Cada regla se clasifica por alcance: universal, de asignatura o específica del OA. Un caso aislado no se convierte automáticamente en una regla universal.</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Plan_Maestro_EstudioSimple_Ingles_7B_v1.0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