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CN</w:t>
      </w:r>
    </w:p>
    <w:p>
      <w:pPr>
        <w:spacing w:before="0" w:after="80" w:line="240" w:lineRule="auto"/>
      </w:pPr>
      <w:r>
        <w:rPr>
          <w:rFonts w:ascii="Calibri" w:hAnsi="Calibri"/>
          <w:b/>
          <w:i w:val="0"/>
          <w:color w:val="0B2545"/>
          <w:sz w:val="52"/>
        </w:rPr>
        <w:t>PLAN MAESTRO · CIENCIAS NATURALES</w:t>
      </w:r>
    </w:p>
    <w:p>
      <w:pPr>
        <w:spacing w:before="0" w:after="280" w:line="300" w:lineRule="auto"/>
      </w:pPr>
      <w:r>
        <w:rPr>
          <w:rFonts w:ascii="Calibri" w:hAnsi="Calibri"/>
          <w:b w:val="0"/>
          <w:i/>
          <w:color w:val="5A636E"/>
          <w:sz w:val="26"/>
        </w:rPr>
        <w:t>Ganchos y Lecciones · 7° Básico · Exámenes Libres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80" w:after="80" w:line="288" w:lineRule="auto"/>
            </w:pPr>
            <w:r>
              <w:rPr>
                <w:rFonts w:ascii="Calibri" w:hAnsi="Calibri"/>
                <w:b/>
                <w:i w:val="0"/>
                <w:color w:val="7A5A00"/>
                <w:sz w:val="21"/>
              </w:rPr>
              <w:t xml:space="preserve">DECISIÓN OPERATIVA  </w:t>
            </w:r>
            <w:r>
              <w:rPr>
                <w:rFonts w:ascii="Calibri" w:hAnsi="Calibri"/>
                <w:b w:val="0"/>
                <w:i w:val="0"/>
                <w:color w:val="2D343C"/>
                <w:sz w:val="21"/>
              </w:rPr>
              <w:t>Este documento es la autoridad disciplinar para diseñar, producir y revisar Ganchos y Lecciones de CN. Si una producción contradice este plan, se detiene y se corrige antes de continuar.</w:t>
            </w:r>
          </w:p>
        </w:tc>
      </w:tr>
    </w:tbl>
    <w:p>
      <w:pPr>
        <w:spacing w:after="40"/>
      </w:pPr>
    </w:p>
    <w:p>
      <w:pPr>
        <w:pStyle w:val="Heading1"/>
        <w:keepNext/>
      </w:pPr>
      <w:r>
        <w:rPr>
          <w:rFonts w:ascii="Calibri" w:hAnsi="Calibri"/>
          <w:b/>
          <w:i w:val="0"/>
          <w:color w:val="2E74B5"/>
          <w:sz w:val="32"/>
        </w:rPr>
        <w:t>Ficha de control</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Campo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Definición</w:t>
            </w:r>
          </w:p>
        </w:tc>
      </w:tr>
      <w:tr>
        <w:tc>
          <w:tcPr>
            <w:tcW w:type="dxa" w:w="1875"/>
            <w:shd w:fill="F7FAFC"/>
          </w:tcPr>
          <w:p>
            <w:pPr>
              <w:spacing w:before="0" w:after="0" w:line="276" w:lineRule="auto"/>
            </w:pPr>
            <w:r>
              <w:rPr>
                <w:rFonts w:ascii="Calibri" w:hAnsi="Calibri"/>
                <w:b w:val="0"/>
                <w:i w:val="0"/>
                <w:color w:val="2D343C"/>
                <w:sz w:val="18"/>
              </w:rPr>
              <w:t>Nivel</w:t>
            </w:r>
          </w:p>
        </w:tc>
        <w:tc>
          <w:tcPr>
            <w:tcW w:type="dxa" w:w="4625"/>
            <w:shd w:fill="F7FAFC"/>
          </w:tcPr>
          <w:p>
            <w:pPr>
              <w:spacing w:before="0" w:after="0" w:line="276" w:lineRule="auto"/>
            </w:pPr>
            <w:r>
              <w:rPr>
                <w:rFonts w:ascii="Calibri" w:hAnsi="Calibri"/>
                <w:b w:val="0"/>
                <w:i w:val="0"/>
                <w:color w:val="2D343C"/>
                <w:sz w:val="18"/>
              </w:rPr>
              <w:t>7° Básico; estudiantes de 11 a 13 años.</w:t>
            </w:r>
          </w:p>
        </w:tc>
      </w:tr>
      <w:tr>
        <w:tc>
          <w:tcPr>
            <w:tcW w:type="dxa" w:w="1875"/>
            <w:shd w:fill="FFFFFF"/>
          </w:tcPr>
          <w:p>
            <w:pPr>
              <w:spacing w:before="0" w:after="0" w:line="276" w:lineRule="auto"/>
            </w:pPr>
            <w:r>
              <w:rPr>
                <w:rFonts w:ascii="Calibri" w:hAnsi="Calibri"/>
                <w:b w:val="0"/>
                <w:i w:val="0"/>
                <w:color w:val="2D343C"/>
                <w:sz w:val="18"/>
              </w:rPr>
              <w:t>Fases</w:t>
            </w:r>
          </w:p>
        </w:tc>
        <w:tc>
          <w:tcPr>
            <w:tcW w:type="dxa" w:w="4625"/>
            <w:shd w:fill="FFFFFF"/>
          </w:tcPr>
          <w:p>
            <w:pPr>
              <w:spacing w:before="0" w:after="0" w:line="276" w:lineRule="auto"/>
            </w:pPr>
            <w:r>
              <w:rPr>
                <w:rFonts w:ascii="Calibri" w:hAnsi="Calibri"/>
                <w:b w:val="0"/>
                <w:i w:val="0"/>
                <w:color w:val="2D343C"/>
                <w:sz w:val="18"/>
              </w:rPr>
              <w:t>Gancho narrativo → Lección explicativa → Juego o actividad posterior.</w:t>
            </w:r>
          </w:p>
        </w:tc>
      </w:tr>
      <w:tr>
        <w:tc>
          <w:tcPr>
            <w:tcW w:type="dxa" w:w="1875"/>
            <w:shd w:fill="F7FAFC"/>
          </w:tcPr>
          <w:p>
            <w:pPr>
              <w:spacing w:before="0" w:after="0" w:line="276" w:lineRule="auto"/>
            </w:pPr>
            <w:r>
              <w:rPr>
                <w:rFonts w:ascii="Calibri" w:hAnsi="Calibri"/>
                <w:b w:val="0"/>
                <w:i w:val="0"/>
                <w:color w:val="2D343C"/>
                <w:sz w:val="18"/>
              </w:rPr>
              <w:t>Fuente curricular</w:t>
            </w:r>
          </w:p>
        </w:tc>
        <w:tc>
          <w:tcPr>
            <w:tcW w:type="dxa" w:w="4625"/>
            <w:shd w:fill="F7FAFC"/>
          </w:tcPr>
          <w:p>
            <w:pPr>
              <w:spacing w:before="0" w:after="0" w:line="276" w:lineRule="auto"/>
            </w:pPr>
            <w:r>
              <w:rPr>
                <w:rFonts w:ascii="Calibri" w:hAnsi="Calibri"/>
                <w:b w:val="0"/>
                <w:i w:val="0"/>
                <w:color w:val="2D343C"/>
                <w:sz w:val="18"/>
              </w:rPr>
              <w:t>Temario oficial de Exámenes Libres, Bases Curriculares e indicadores pertinentes.</w:t>
            </w:r>
          </w:p>
        </w:tc>
      </w:tr>
      <w:tr>
        <w:tc>
          <w:tcPr>
            <w:tcW w:type="dxa" w:w="1875"/>
            <w:shd w:fill="FFFFFF"/>
          </w:tcPr>
          <w:p>
            <w:pPr>
              <w:spacing w:before="0" w:after="0" w:line="276" w:lineRule="auto"/>
            </w:pPr>
            <w:r>
              <w:rPr>
                <w:rFonts w:ascii="Calibri" w:hAnsi="Calibri"/>
                <w:b w:val="0"/>
                <w:i w:val="0"/>
                <w:color w:val="2D343C"/>
                <w:sz w:val="18"/>
              </w:rPr>
              <w:t>Código de asignatura</w:t>
            </w:r>
          </w:p>
        </w:tc>
        <w:tc>
          <w:tcPr>
            <w:tcW w:type="dxa" w:w="4625"/>
            <w:shd w:fill="FFFFFF"/>
          </w:tcPr>
          <w:p>
            <w:pPr>
              <w:spacing w:before="0" w:after="0" w:line="276" w:lineRule="auto"/>
            </w:pPr>
            <w:r>
              <w:rPr>
                <w:rFonts w:ascii="Calibri" w:hAnsi="Calibri"/>
                <w:b w:val="0"/>
                <w:i w:val="0"/>
                <w:color w:val="2D343C"/>
                <w:sz w:val="18"/>
              </w:rPr>
              <w:t>CN</w:t>
            </w:r>
          </w:p>
        </w:tc>
      </w:tr>
      <w:tr>
        <w:tc>
          <w:tcPr>
            <w:tcW w:type="dxa" w:w="1875"/>
            <w:shd w:fill="F7FAFC"/>
          </w:tcPr>
          <w:p>
            <w:pPr>
              <w:spacing w:before="0" w:after="0" w:line="276" w:lineRule="auto"/>
            </w:pPr>
            <w:r>
              <w:rPr>
                <w:rFonts w:ascii="Calibri" w:hAnsi="Calibri"/>
                <w:b w:val="0"/>
                <w:i w:val="0"/>
                <w:color w:val="2D343C"/>
                <w:sz w:val="18"/>
              </w:rPr>
              <w:t>Versión</w:t>
            </w:r>
          </w:p>
        </w:tc>
        <w:tc>
          <w:tcPr>
            <w:tcW w:type="dxa" w:w="4625"/>
            <w:shd w:fill="F7FAFC"/>
          </w:tcPr>
          <w:p>
            <w:r>
              <w:t>1.4 · 2026-10-03 15:38 UTC−03:00</w:t>
            </w:r>
          </w:p>
        </w:tc>
      </w:tr>
    </w:tbl>
    <w:p>
      <w:pPr>
        <w:spacing w:after="40"/>
      </w:pPr>
    </w:p>
    <w:p>
      <w:pPr>
        <w:pStyle w:val="Heading1"/>
        <w:keepNext/>
      </w:pPr>
      <w:r>
        <w:rPr>
          <w:rFonts w:ascii="Calibri" w:hAnsi="Calibri"/>
          <w:b/>
          <w:i w:val="0"/>
          <w:color w:val="2E74B5"/>
          <w:sz w:val="32"/>
        </w:rPr>
        <w:t>1. Propósito y alcance</w:t>
      </w:r>
    </w:p>
    <w:p>
      <w:pPr>
        <w:spacing w:before="0" w:after="120" w:line="300" w:lineRule="auto"/>
      </w:pPr>
      <w:r>
        <w:rPr>
          <w:rFonts w:ascii="Calibri" w:hAnsi="Calibri"/>
          <w:b w:val="0"/>
          <w:i w:val="0"/>
          <w:sz w:val="22"/>
        </w:rPr>
        <w:t>Este plan define cómo se construyen las experiencias de EstudioSimple para Ciencias Naturales. No es una guía visual genérica: establece qué debe aprender el estudiante, cómo se modela el pensamiento disciplinar y qué evidencia mínima permite declarar una Lección terminada.</w:t>
      </w:r>
    </w:p>
    <w:p>
      <w:pPr>
        <w:spacing w:before="0" w:after="120" w:line="300" w:lineRule="auto"/>
      </w:pPr>
      <w:r>
        <w:rPr>
          <w:rFonts w:ascii="Calibri" w:hAnsi="Calibri"/>
          <w:b w:val="0"/>
          <w:i w:val="0"/>
          <w:sz w:val="22"/>
        </w:rPr>
        <w:t>La producción no se considera aprobada porque las diapositivas sean atractivas o porque el PPTX abra correctamente. Debe demostrar comprensión progresiva, ejemplo desarrollado, práctica con apoyo, feedback explícito y transferencia.</w:t>
      </w:r>
    </w:p>
    <w:p>
      <w:pPr>
        <w:pStyle w:val="Heading1"/>
        <w:keepNext/>
      </w:pPr>
      <w:r>
        <w:rPr>
          <w:rFonts w:ascii="Calibri" w:hAnsi="Calibri"/>
          <w:b/>
          <w:i w:val="0"/>
          <w:color w:val="2E74B5"/>
          <w:sz w:val="32"/>
        </w:rPr>
        <w:t>2. Principio didáctico central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REGLA BLOQUEANTE  </w:t>
            </w:r>
            <w:r>
              <w:rPr>
                <w:rFonts w:ascii="Calibri" w:hAnsi="Calibri"/>
                <w:b w:val="0"/>
                <w:i w:val="0"/>
                <w:color w:val="2D343C"/>
                <w:sz w:val="21"/>
              </w:rPr>
              <w:t>Toda Lección debe incluir al menos un ejemplo completamente desarrollado. El ejemplo no puede limitarse a mostrar el resultado ni a formular una pregunta. Debe enseñar el camino que lleva desde la información inicial hasta una respuesta justificada.</w:t>
            </w:r>
          </w:p>
        </w:tc>
      </w:tr>
    </w:tbl>
    <w:p>
      <w:pPr>
        <w:spacing w:after="40"/>
      </w:pPr>
    </w:p>
    <w:p>
      <w:pPr>
        <w:spacing w:before="0" w:after="120" w:line="300" w:lineRule="auto"/>
      </w:pPr>
      <w:r>
        <w:rPr>
          <w:rFonts w:ascii="Calibri" w:hAnsi="Calibri"/>
          <w:b w:val="0"/>
          <w:i w:val="0"/>
          <w:sz w:val="22"/>
        </w:rPr>
        <w:t>El estudiante debe poder responder, después de observar el ejemplo: “¿Qué hizo el modelo?, ¿en qué orden lo hizo?, ¿por qué lo hizo así?, ¿cómo puedo repetirlo en otro caso?”. Si no puede contestar esas preguntas, el ejemplo está incompleto.</w:t>
      </w:r>
    </w:p>
    <w:p>
      <w:pPr>
        <w:pStyle w:val="Heading2"/>
        <w:keepNext/>
      </w:pPr>
      <w:r>
        <w:rPr>
          <w:rFonts w:ascii="Calibri" w:hAnsi="Calibri"/>
          <w:b/>
          <w:i w:val="0"/>
          <w:color w:val="2E74B5"/>
          <w:sz w:val="26"/>
        </w:rPr>
        <w:t>2.1 Secuencia universal de comprensión</w:t>
      </w:r>
    </w:p>
    <w:p>
      <w:pPr>
        <w:pStyle w:val="ListNumber"/>
        <w:spacing w:before="0" w:after="80" w:line="300" w:lineRule="auto"/>
      </w:pPr>
      <w:r>
        <w:rPr>
          <w:rFonts w:ascii="Calibri" w:hAnsi="Calibri"/>
          <w:b w:val="0"/>
          <w:i w:val="0"/>
          <w:color w:val="232A32"/>
          <w:sz w:val="21"/>
        </w:rPr>
        <w:t>Activar el desafío del Gancho y declarar con claridad qué aprenderá el estudiante.</w:t>
      </w:r>
    </w:p>
    <w:p>
      <w:pPr>
        <w:pStyle w:val="ListNumber"/>
        <w:spacing w:before="0" w:after="80" w:line="300" w:lineRule="auto"/>
      </w:pPr>
      <w:r>
        <w:rPr>
          <w:rFonts w:ascii="Calibri" w:hAnsi="Calibri"/>
          <w:b w:val="0"/>
          <w:i w:val="0"/>
          <w:color w:val="232A32"/>
          <w:sz w:val="21"/>
        </w:rPr>
        <w:t>Presentar una herramienta disciplinar concreta, no una lista amplia de contenidos.</w:t>
      </w:r>
    </w:p>
    <w:p>
      <w:pPr>
        <w:pStyle w:val="ListNumber"/>
        <w:spacing w:before="0" w:after="80" w:line="300" w:lineRule="auto"/>
      </w:pPr>
      <w:r>
        <w:rPr>
          <w:rFonts w:ascii="Calibri" w:hAnsi="Calibri"/>
          <w:b w:val="0"/>
          <w:i w:val="0"/>
          <w:color w:val="232A32"/>
          <w:sz w:val="21"/>
        </w:rPr>
        <w:t>Modelar un ejemplo completo mediante pensamiento visible y pasos explícitos.</w:t>
      </w:r>
    </w:p>
    <w:p>
      <w:pPr>
        <w:pStyle w:val="ListNumber"/>
        <w:spacing w:before="0" w:after="80" w:line="300" w:lineRule="auto"/>
      </w:pPr>
      <w:r>
        <w:rPr>
          <w:rFonts w:ascii="Calibri" w:hAnsi="Calibri"/>
          <w:b w:val="0"/>
          <w:i w:val="0"/>
          <w:color w:val="232A32"/>
          <w:sz w:val="21"/>
        </w:rPr>
        <w:t>Resolver un segundo caso de manera guiada, dejando decisiones parciales al estudiante.</w:t>
      </w:r>
    </w:p>
    <w:p>
      <w:pPr>
        <w:pStyle w:val="ListNumber"/>
        <w:spacing w:before="0" w:after="80" w:line="300" w:lineRule="auto"/>
      </w:pPr>
      <w:r>
        <w:rPr>
          <w:rFonts w:ascii="Calibri" w:hAnsi="Calibri"/>
          <w:b w:val="0"/>
          <w:i w:val="0"/>
          <w:color w:val="232A32"/>
          <w:sz w:val="21"/>
        </w:rPr>
        <w:t>Entregar una tarea autónoma breve, con respuesta y feedback verificables.</w:t>
      </w:r>
    </w:p>
    <w:p>
      <w:pPr>
        <w:pStyle w:val="ListNumber"/>
        <w:spacing w:before="0" w:after="80" w:line="300" w:lineRule="auto"/>
      </w:pPr>
      <w:r>
        <w:rPr>
          <w:rFonts w:ascii="Calibri" w:hAnsi="Calibri"/>
          <w:b w:val="0"/>
          <w:i w:val="0"/>
          <w:color w:val="232A32"/>
          <w:sz w:val="21"/>
        </w:rPr>
        <w:t>Transferir el procedimiento o estrategia a un contexto nuevo y volver al Gancho.</w:t>
      </w:r>
    </w:p>
    <w:p>
      <w:pPr>
        <w:pStyle w:val="Heading1"/>
        <w:keepNext/>
      </w:pPr>
      <w:r>
        <w:rPr>
          <w:rFonts w:ascii="Calibri" w:hAnsi="Calibri"/>
          <w:b/>
          <w:i w:val="0"/>
          <w:color w:val="2E74B5"/>
          <w:sz w:val="32"/>
        </w:rPr>
        <w:t>3. Arquitectura de producción</w:t>
      </w:r>
    </w:p>
    <w:tbl>
      <w:tblPr>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Momento</w:t>
            </w:r>
          </w:p>
        </w:tc>
        <w:tc>
          <w:tcPr>
            <w:tcW w:type="dxa" w:w="43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Función obligatoria</w:t>
            </w:r>
          </w:p>
        </w:tc>
        <w:tc>
          <w:tcPr>
            <w:tcW w:type="dxa" w:w="33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Puerta de aprobación</w:t>
            </w:r>
          </w:p>
        </w:tc>
      </w:tr>
      <w:tr>
        <w:tc>
          <w:tcPr>
            <w:tcW w:type="dxa" w:w="1700"/>
            <w:shd w:fill="F7FAFC"/>
          </w:tcPr>
          <w:p>
            <w:pPr>
              <w:spacing w:before="0" w:after="0" w:line="276" w:lineRule="auto"/>
            </w:pPr>
            <w:r>
              <w:rPr>
                <w:rFonts w:ascii="Calibri" w:hAnsi="Calibri"/>
                <w:b w:val="0"/>
                <w:i w:val="0"/>
                <w:color w:val="2D343C"/>
                <w:sz w:val="18"/>
              </w:rPr>
              <w:t>Gancho</w:t>
            </w:r>
          </w:p>
        </w:tc>
        <w:tc>
          <w:tcPr>
            <w:tcW w:type="dxa" w:w="4300"/>
            <w:shd w:fill="F7FAFC"/>
          </w:tcPr>
          <w:p>
            <w:pPr>
              <w:spacing w:before="0" w:after="0" w:line="276" w:lineRule="auto"/>
            </w:pPr>
            <w:r>
              <w:rPr>
                <w:rFonts w:ascii="Calibri" w:hAnsi="Calibri"/>
                <w:b w:val="0"/>
                <w:i w:val="0"/>
                <w:color w:val="2D343C"/>
                <w:sz w:val="18"/>
              </w:rPr>
              <w:t>Situación significativa, tensión cognitiva y pregunta detonante.</w:t>
            </w:r>
          </w:p>
        </w:tc>
        <w:tc>
          <w:tcPr>
            <w:tcW w:type="dxa" w:w="3360"/>
            <w:shd w:fill="F7FAFC"/>
          </w:tcPr>
          <w:p>
            <w:pPr>
              <w:spacing w:before="0" w:after="0" w:line="276" w:lineRule="auto"/>
            </w:pPr>
            <w:r>
              <w:rPr>
                <w:rFonts w:ascii="Calibri" w:hAnsi="Calibri"/>
                <w:b w:val="0"/>
                <w:i w:val="0"/>
                <w:color w:val="2D343C"/>
                <w:sz w:val="18"/>
              </w:rPr>
              <w:t>No desarrolla la clase completa.</w:t>
            </w:r>
          </w:p>
        </w:tc>
      </w:tr>
      <w:tr>
        <w:tc>
          <w:tcPr>
            <w:tcW w:type="dxa" w:w="1700"/>
            <w:shd w:fill="FFFFFF"/>
          </w:tcPr>
          <w:p>
            <w:pPr>
              <w:spacing w:before="0" w:after="0" w:line="276" w:lineRule="auto"/>
            </w:pPr>
            <w:r>
              <w:rPr>
                <w:rFonts w:ascii="Calibri" w:hAnsi="Calibri"/>
                <w:b w:val="0"/>
                <w:i w:val="0"/>
                <w:color w:val="2D343C"/>
                <w:sz w:val="18"/>
              </w:rPr>
              <w:t>Puente</w:t>
            </w:r>
          </w:p>
        </w:tc>
        <w:tc>
          <w:tcPr>
            <w:tcW w:type="dxa" w:w="4300"/>
            <w:shd w:fill="FFFFFF"/>
          </w:tcPr>
          <w:p>
            <w:pPr>
              <w:spacing w:before="0" w:after="0" w:line="276" w:lineRule="auto"/>
            </w:pPr>
            <w:r>
              <w:rPr>
                <w:rFonts w:ascii="Calibri" w:hAnsi="Calibri"/>
                <w:b w:val="0"/>
                <w:i w:val="0"/>
                <w:color w:val="2D343C"/>
                <w:sz w:val="18"/>
              </w:rPr>
              <w:t>Recupera el conflicto, objeto o pregunta del Gancho.</w:t>
            </w:r>
          </w:p>
        </w:tc>
        <w:tc>
          <w:tcPr>
            <w:tcW w:type="dxa" w:w="3360"/>
            <w:shd w:fill="FFFFFF"/>
          </w:tcPr>
          <w:p>
            <w:pPr>
              <w:spacing w:before="0" w:after="0" w:line="276" w:lineRule="auto"/>
            </w:pPr>
            <w:r>
              <w:rPr>
                <w:rFonts w:ascii="Calibri" w:hAnsi="Calibri"/>
                <w:b w:val="0"/>
                <w:i w:val="0"/>
                <w:color w:val="2D343C"/>
                <w:sz w:val="18"/>
              </w:rPr>
              <w:t>El estudiante reconoce la continuidad.</w:t>
            </w:r>
          </w:p>
        </w:tc>
      </w:tr>
      <w:tr>
        <w:tc>
          <w:tcPr>
            <w:tcW w:type="dxa" w:w="1700"/>
            <w:shd w:fill="F7FAFC"/>
          </w:tcPr>
          <w:p>
            <w:pPr>
              <w:spacing w:before="0" w:after="0" w:line="276" w:lineRule="auto"/>
            </w:pPr>
            <w:r>
              <w:rPr>
                <w:rFonts w:ascii="Calibri" w:hAnsi="Calibri"/>
                <w:b w:val="0"/>
                <w:i w:val="0"/>
                <w:color w:val="2D343C"/>
                <w:sz w:val="18"/>
              </w:rPr>
              <w:t>Meta</w:t>
            </w:r>
          </w:p>
        </w:tc>
        <w:tc>
          <w:tcPr>
            <w:tcW w:type="dxa" w:w="4300"/>
            <w:shd w:fill="F7FAFC"/>
          </w:tcPr>
          <w:p>
            <w:pPr>
              <w:spacing w:before="0" w:after="0" w:line="276" w:lineRule="auto"/>
            </w:pPr>
            <w:r>
              <w:rPr>
                <w:rFonts w:ascii="Calibri" w:hAnsi="Calibri"/>
                <w:b w:val="0"/>
                <w:i w:val="0"/>
                <w:color w:val="2D343C"/>
                <w:sz w:val="18"/>
              </w:rPr>
              <w:t>Declara “Con este objetivo aprenderás a…” con lenguaje comprensible.</w:t>
            </w:r>
          </w:p>
        </w:tc>
        <w:tc>
          <w:tcPr>
            <w:tcW w:type="dxa" w:w="3360"/>
            <w:shd w:fill="F7FAFC"/>
          </w:tcPr>
          <w:p>
            <w:pPr>
              <w:spacing w:before="0" w:after="0" w:line="276" w:lineRule="auto"/>
            </w:pPr>
            <w:r>
              <w:rPr>
                <w:rFonts w:ascii="Calibri" w:hAnsi="Calibri"/>
                <w:b w:val="0"/>
                <w:i w:val="0"/>
                <w:color w:val="2D343C"/>
                <w:sz w:val="18"/>
              </w:rPr>
              <w:t>La meta coincide con el OA y la herramienta.</w:t>
            </w:r>
          </w:p>
        </w:tc>
      </w:tr>
      <w:tr>
        <w:tc>
          <w:tcPr>
            <w:tcW w:type="dxa" w:w="1700"/>
            <w:shd w:fill="FFFFFF"/>
          </w:tcPr>
          <w:p>
            <w:pPr>
              <w:spacing w:before="0" w:after="0" w:line="276" w:lineRule="auto"/>
            </w:pPr>
            <w:r>
              <w:rPr>
                <w:rFonts w:ascii="Calibri" w:hAnsi="Calibri"/>
                <w:b w:val="0"/>
                <w:i w:val="0"/>
                <w:color w:val="2D343C"/>
                <w:sz w:val="18"/>
              </w:rPr>
              <w:t>Modelado</w:t>
            </w:r>
          </w:p>
        </w:tc>
        <w:tc>
          <w:tcPr>
            <w:tcW w:type="dxa" w:w="4300"/>
            <w:shd w:fill="FFFFFF"/>
          </w:tcPr>
          <w:p>
            <w:pPr>
              <w:spacing w:before="0" w:after="0" w:line="276" w:lineRule="auto"/>
            </w:pPr>
            <w:r>
              <w:rPr>
                <w:rFonts w:ascii="Calibri" w:hAnsi="Calibri"/>
                <w:b w:val="0"/>
                <w:i w:val="0"/>
                <w:color w:val="2D343C"/>
                <w:sz w:val="18"/>
              </w:rPr>
              <w:t>Ejemplo completamente resuelto, con pasos y decisiones visibles.</w:t>
            </w:r>
          </w:p>
        </w:tc>
        <w:tc>
          <w:tcPr>
            <w:tcW w:type="dxa" w:w="3360"/>
            <w:shd w:fill="FFFFFF"/>
          </w:tcPr>
          <w:p>
            <w:pPr>
              <w:spacing w:before="0" w:after="0" w:line="276" w:lineRule="auto"/>
            </w:pPr>
            <w:r>
              <w:rPr>
                <w:rFonts w:ascii="Calibri" w:hAnsi="Calibri"/>
                <w:b w:val="0"/>
                <w:i w:val="0"/>
                <w:color w:val="2D343C"/>
                <w:sz w:val="18"/>
              </w:rPr>
              <w:t>La respuesta final queda justificada.</w:t>
            </w:r>
          </w:p>
        </w:tc>
      </w:tr>
      <w:tr>
        <w:tc>
          <w:tcPr>
            <w:tcW w:type="dxa" w:w="1700"/>
            <w:shd w:fill="F7FAFC"/>
          </w:tcPr>
          <w:p>
            <w:pPr>
              <w:spacing w:before="0" w:after="0" w:line="276" w:lineRule="auto"/>
            </w:pPr>
            <w:r>
              <w:rPr>
                <w:rFonts w:ascii="Calibri" w:hAnsi="Calibri"/>
                <w:b w:val="0"/>
                <w:i w:val="0"/>
                <w:color w:val="2D343C"/>
                <w:sz w:val="18"/>
              </w:rPr>
              <w:t>Práctica guiada</w:t>
            </w:r>
          </w:p>
        </w:tc>
        <w:tc>
          <w:tcPr>
            <w:tcW w:type="dxa" w:w="4300"/>
            <w:shd w:fill="F7FAFC"/>
          </w:tcPr>
          <w:p>
            <w:pPr>
              <w:spacing w:before="0" w:after="0" w:line="276" w:lineRule="auto"/>
            </w:pPr>
            <w:r>
              <w:rPr>
                <w:rFonts w:ascii="Calibri" w:hAnsi="Calibri"/>
                <w:b w:val="0"/>
                <w:i w:val="0"/>
                <w:color w:val="2D343C"/>
                <w:sz w:val="18"/>
              </w:rPr>
              <w:t>Nuevo caso con apoyo, pausas y feedback.</w:t>
            </w:r>
          </w:p>
        </w:tc>
        <w:tc>
          <w:tcPr>
            <w:tcW w:type="dxa" w:w="3360"/>
            <w:shd w:fill="F7FAFC"/>
          </w:tcPr>
          <w:p>
            <w:pPr>
              <w:spacing w:before="0" w:after="0" w:line="276" w:lineRule="auto"/>
            </w:pPr>
            <w:r>
              <w:rPr>
                <w:rFonts w:ascii="Calibri" w:hAnsi="Calibri"/>
                <w:b w:val="0"/>
                <w:i w:val="0"/>
                <w:color w:val="2D343C"/>
                <w:sz w:val="18"/>
              </w:rPr>
              <w:t>No se deja una aplicación sin resolución.</w:t>
            </w:r>
          </w:p>
        </w:tc>
      </w:tr>
      <w:tr>
        <w:tc>
          <w:tcPr>
            <w:tcW w:type="dxa" w:w="1700"/>
            <w:shd w:fill="FFFFFF"/>
          </w:tcPr>
          <w:p>
            <w:pPr>
              <w:spacing w:before="0" w:after="0" w:line="276" w:lineRule="auto"/>
            </w:pPr>
            <w:r>
              <w:rPr>
                <w:rFonts w:ascii="Calibri" w:hAnsi="Calibri"/>
                <w:b w:val="0"/>
                <w:i w:val="0"/>
                <w:color w:val="2D343C"/>
                <w:sz w:val="18"/>
              </w:rPr>
              <w:t>Transferencia</w:t>
            </w:r>
          </w:p>
        </w:tc>
        <w:tc>
          <w:tcPr>
            <w:tcW w:type="dxa" w:w="4300"/>
            <w:shd w:fill="FFFFFF"/>
          </w:tcPr>
          <w:p>
            <w:pPr>
              <w:spacing w:before="0" w:after="0" w:line="276" w:lineRule="auto"/>
            </w:pPr>
            <w:r>
              <w:rPr>
                <w:rFonts w:ascii="Calibri" w:hAnsi="Calibri"/>
                <w:b w:val="0"/>
                <w:i w:val="0"/>
                <w:color w:val="2D343C"/>
                <w:sz w:val="18"/>
              </w:rPr>
              <w:t>Caso nuevo o regreso al Gancho.</w:t>
            </w:r>
          </w:p>
        </w:tc>
        <w:tc>
          <w:tcPr>
            <w:tcW w:type="dxa" w:w="3360"/>
            <w:shd w:fill="FFFFFF"/>
          </w:tcPr>
          <w:p>
            <w:pPr>
              <w:spacing w:before="0" w:after="0" w:line="276" w:lineRule="auto"/>
            </w:pPr>
            <w:r>
              <w:rPr>
                <w:rFonts w:ascii="Calibri" w:hAnsi="Calibri"/>
                <w:b w:val="0"/>
                <w:i w:val="0"/>
                <w:color w:val="2D343C"/>
                <w:sz w:val="18"/>
              </w:rPr>
              <w:t>El estudiante aplica la estrategia en otra situación.</w:t>
            </w:r>
          </w:p>
        </w:tc>
      </w:tr>
    </w:tbl>
    <w:p>
      <w:pPr>
        <w:spacing w:after="40"/>
      </w:pPr>
    </w:p>
    <w:p>
      <w:pPr>
        <w:pStyle w:val="Heading2"/>
        <w:keepNext/>
      </w:pPr>
      <w:r>
        <w:rPr>
          <w:rFonts w:ascii="Calibri" w:hAnsi="Calibri"/>
          <w:b/>
          <w:i w:val="0"/>
          <w:color w:val="2E74B5"/>
          <w:sz w:val="26"/>
        </w:rPr>
        <w:t>3.1 Estructura estándar de la Lección</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Slides</w:t>
            </w:r>
          </w:p>
        </w:tc>
        <w:tc>
          <w:tcPr>
            <w:tcW w:type="dxa" w:w="78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Uso</w:t>
            </w:r>
          </w:p>
        </w:tc>
      </w:tr>
      <w:tr>
        <w:tc>
          <w:tcPr>
            <w:tcW w:type="dxa" w:w="1500"/>
            <w:shd w:fill="F7FAFC"/>
          </w:tcPr>
          <w:p>
            <w:pPr>
              <w:spacing w:before="0" w:after="0" w:line="276" w:lineRule="auto"/>
            </w:pPr>
            <w:r>
              <w:rPr>
                <w:rFonts w:ascii="Calibri" w:hAnsi="Calibri"/>
                <w:b w:val="0"/>
                <w:i w:val="0"/>
                <w:color w:val="2D343C"/>
                <w:sz w:val="18"/>
              </w:rPr>
              <w:t>1–3</w:t>
            </w:r>
          </w:p>
        </w:tc>
        <w:tc>
          <w:tcPr>
            <w:tcW w:type="dxa" w:w="7860"/>
            <w:shd w:fill="F7FAFC"/>
          </w:tcPr>
          <w:p>
            <w:r>
              <w:t>Diapositiva 1: puente con el Gancho y objetivo; siguientes: explicación.</w:t>
            </w:r>
          </w:p>
        </w:tc>
      </w:tr>
      <w:tr>
        <w:tc>
          <w:tcPr>
            <w:tcW w:type="dxa" w:w="1500"/>
            <w:shd w:fill="FFFFFF"/>
          </w:tcPr>
          <w:p>
            <w:pPr>
              <w:spacing w:before="0" w:after="0" w:line="276" w:lineRule="auto"/>
            </w:pPr>
            <w:r>
              <w:rPr>
                <w:rFonts w:ascii="Calibri" w:hAnsi="Calibri"/>
                <w:b w:val="0"/>
                <w:i w:val="0"/>
                <w:color w:val="2D343C"/>
                <w:sz w:val="18"/>
              </w:rPr>
              <w:t>4–5</w:t>
            </w:r>
          </w:p>
        </w:tc>
        <w:tc>
          <w:tcPr>
            <w:tcW w:type="dxa" w:w="7860"/>
            <w:shd w:fill="FFFFFF"/>
          </w:tcPr>
          <w:p>
            <w:pPr>
              <w:spacing w:before="0" w:after="0" w:line="276" w:lineRule="auto"/>
            </w:pPr>
            <w:r>
              <w:rPr>
                <w:rFonts w:ascii="Calibri" w:hAnsi="Calibri"/>
                <w:b w:val="0"/>
                <w:i w:val="0"/>
                <w:color w:val="2D343C"/>
                <w:sz w:val="18"/>
              </w:rPr>
              <w:t>Activación y presentación de la herramienta disciplinar.</w:t>
            </w:r>
          </w:p>
        </w:tc>
      </w:tr>
      <w:tr>
        <w:tc>
          <w:tcPr>
            <w:tcW w:type="dxa" w:w="1500"/>
            <w:shd w:fill="F7FAFC"/>
          </w:tcPr>
          <w:p>
            <w:pPr>
              <w:spacing w:before="0" w:after="0" w:line="276" w:lineRule="auto"/>
            </w:pPr>
            <w:r>
              <w:rPr>
                <w:rFonts w:ascii="Calibri" w:hAnsi="Calibri"/>
                <w:b w:val="0"/>
                <w:i w:val="0"/>
                <w:color w:val="2D343C"/>
                <w:sz w:val="18"/>
              </w:rPr>
              <w:t>6–10</w:t>
            </w:r>
          </w:p>
        </w:tc>
        <w:tc>
          <w:tcPr>
            <w:tcW w:type="dxa" w:w="7860"/>
            <w:shd w:fill="F7FAFC"/>
          </w:tcPr>
          <w:p>
            <w:pPr>
              <w:spacing w:before="0" w:after="0" w:line="276" w:lineRule="auto"/>
            </w:pPr>
            <w:r>
              <w:rPr>
                <w:rFonts w:ascii="Calibri" w:hAnsi="Calibri"/>
                <w:b w:val="0"/>
                <w:i w:val="0"/>
                <w:color w:val="2D343C"/>
                <w:sz w:val="18"/>
              </w:rPr>
              <w:t>Ejemplo completamente desarrollado; cada slide muestra un paso o decisión.</w:t>
            </w:r>
          </w:p>
        </w:tc>
      </w:tr>
      <w:tr>
        <w:tc>
          <w:tcPr>
            <w:tcW w:type="dxa" w:w="1500"/>
            <w:shd w:fill="FFFFFF"/>
          </w:tcPr>
          <w:p>
            <w:pPr>
              <w:spacing w:before="0" w:after="0" w:line="276" w:lineRule="auto"/>
            </w:pPr>
            <w:r>
              <w:rPr>
                <w:rFonts w:ascii="Calibri" w:hAnsi="Calibri"/>
                <w:b w:val="0"/>
                <w:i w:val="0"/>
                <w:color w:val="2D343C"/>
                <w:sz w:val="18"/>
              </w:rPr>
              <w:t>11–13</w:t>
            </w:r>
          </w:p>
        </w:tc>
        <w:tc>
          <w:tcPr>
            <w:tcW w:type="dxa" w:w="7860"/>
            <w:shd w:fill="FFFFFF"/>
          </w:tcPr>
          <w:p>
            <w:r>
              <w:t>Aplicación modelada</w:t>
            </w:r>
          </w:p>
        </w:tc>
      </w:tr>
      <w:tr>
        <w:tc>
          <w:tcPr>
            <w:tcW w:type="dxa" w:w="1500"/>
            <w:shd w:fill="F7FAFC"/>
          </w:tcPr>
          <w:p>
            <w:pPr>
              <w:spacing w:before="0" w:after="0" w:line="276" w:lineRule="auto"/>
            </w:pPr>
            <w:r>
              <w:rPr>
                <w:rFonts w:ascii="Calibri" w:hAnsi="Calibri"/>
                <w:b w:val="0"/>
                <w:i w:val="0"/>
                <w:color w:val="2D343C"/>
                <w:sz w:val="18"/>
              </w:rPr>
              <w:t>14</w:t>
            </w:r>
          </w:p>
        </w:tc>
        <w:tc>
          <w:tcPr>
            <w:tcW w:type="dxa" w:w="7860"/>
            <w:shd w:fill="F7FAFC"/>
          </w:tcPr>
          <w:p>
            <w:pPr>
              <w:spacing w:before="0" w:after="0" w:line="276" w:lineRule="auto"/>
            </w:pPr>
            <w:r>
              <w:rPr>
                <w:rFonts w:ascii="Calibri" w:hAnsi="Calibri"/>
                <w:b w:val="0"/>
                <w:i w:val="0"/>
                <w:color w:val="2D343C"/>
                <w:sz w:val="18"/>
              </w:rPr>
              <w:t>Respuesta y feedback explícitos.</w:t>
            </w:r>
          </w:p>
        </w:tc>
      </w:tr>
      <w:tr>
        <w:tc>
          <w:tcPr>
            <w:tcW w:type="dxa" w:w="1500"/>
            <w:shd w:fill="FFFFFF"/>
          </w:tcPr>
          <w:p>
            <w:pPr>
              <w:spacing w:before="0" w:after="0" w:line="276" w:lineRule="auto"/>
            </w:pPr>
            <w:r>
              <w:rPr>
                <w:rFonts w:ascii="Calibri" w:hAnsi="Calibri"/>
                <w:b w:val="0"/>
                <w:i w:val="0"/>
                <w:color w:val="2D343C"/>
                <w:sz w:val="18"/>
              </w:rPr>
              <w:t>15–16</w:t>
            </w:r>
          </w:p>
        </w:tc>
        <w:tc>
          <w:tcPr>
            <w:tcW w:type="dxa" w:w="7860"/>
            <w:shd w:fill="FFFFFF"/>
          </w:tcPr>
          <w:p>
            <w:r>
              <w:t>Ejemplo de transferencia y error frecuente</w:t>
            </w:r>
          </w:p>
        </w:tc>
      </w:tr>
      <w:tr>
        <w:tc>
          <w:tcPr>
            <w:tcW w:type="dxa" w:w="1500"/>
            <w:shd w:fill="F7FAFC"/>
          </w:tcPr>
          <w:p>
            <w:pPr>
              <w:spacing w:before="0" w:after="0" w:line="276" w:lineRule="auto"/>
            </w:pPr>
            <w:r>
              <w:rPr>
                <w:rFonts w:ascii="Calibri" w:hAnsi="Calibri"/>
                <w:b w:val="0"/>
                <w:i w:val="0"/>
                <w:color w:val="2D343C"/>
                <w:sz w:val="18"/>
              </w:rPr>
              <w:t>17</w:t>
            </w:r>
          </w:p>
        </w:tc>
        <w:tc>
          <w:tcPr>
            <w:tcW w:type="dxa" w:w="7860"/>
            <w:shd w:fill="F7FAFC"/>
          </w:tcPr>
          <w:p>
            <w:r>
              <w:t>Síntesis y puente</w:t>
            </w:r>
          </w:p>
        </w:tc>
      </w:tr>
    </w:tbl>
    <w:p>
      <w:pPr>
        <w:spacing w:after="40"/>
      </w:pPr>
    </w:p>
    <w:p>
      <w:pPr>
        <w:pStyle w:val="Heading1"/>
        <w:keepNext/>
      </w:pPr>
      <w:r>
        <w:rPr>
          <w:rFonts w:ascii="Calibri" w:hAnsi="Calibri"/>
          <w:b/>
          <w:i w:val="0"/>
          <w:color w:val="2E74B5"/>
          <w:sz w:val="32"/>
        </w:rPr>
        <w:t>4. Reglas de continuidad y diseño</w:t>
      </w:r>
    </w:p>
    <w:p>
      <w:pPr>
        <w:pStyle w:val="ListBullet"/>
        <w:spacing w:before="0" w:after="80" w:line="300" w:lineRule="auto"/>
      </w:pPr>
      <w:r>
        <w:rPr>
          <w:rFonts w:ascii="Calibri" w:hAnsi="Calibri"/>
          <w:b w:val="0"/>
          <w:i w:val="0"/>
          <w:color w:val="232A32"/>
          <w:sz w:val="21"/>
        </w:rPr>
        <w:t>La Lección comienza donde terminó el Gancho y recupera su pregunta antes de introducir contenido nuevo.</w:t>
      </w:r>
    </w:p>
    <w:p>
      <w:pPr>
        <w:pStyle w:val="ListBullet"/>
        <w:spacing w:before="0" w:after="80" w:line="300" w:lineRule="auto"/>
      </w:pPr>
      <w:r>
        <w:t>En todas las lecciones participan siempre la joven y el joven; ambos conservan su identidad visual y una función narrativa o didáctica.</w:t>
      </w:r>
    </w:p>
    <w:p>
      <w:pPr>
        <w:pStyle w:val="ListBullet"/>
        <w:spacing w:before="0" w:after="80" w:line="300" w:lineRule="auto"/>
      </w:pPr>
      <w:r>
        <w:rPr>
          <w:rFonts w:ascii="Calibri" w:hAnsi="Calibri"/>
          <w:b w:val="0"/>
          <w:i w:val="0"/>
          <w:color w:val="232A32"/>
          <w:sz w:val="21"/>
        </w:rPr>
        <w:t>Cada diapositiva tiene una idea principal. Las explicaciones extensas van en las notas al orador.</w:t>
      </w:r>
    </w:p>
    <w:p>
      <w:pPr>
        <w:pStyle w:val="ListBullet"/>
        <w:spacing w:before="0" w:after="80" w:line="300" w:lineRule="auto"/>
      </w:pPr>
      <w:r>
        <w:rPr>
          <w:rFonts w:ascii="Calibri" w:hAnsi="Calibri"/>
          <w:b w:val="0"/>
          <w:i w:val="0"/>
          <w:color w:val="232A32"/>
          <w:sz w:val="21"/>
        </w:rPr>
        <w:t>El texto visible debe ser breve, legible, contrastado y no debe tapar al personaje ni convertirse en un cartel dominante.</w:t>
      </w:r>
    </w:p>
    <w:p>
      <w:pPr>
        <w:pStyle w:val="ListBullet"/>
        <w:spacing w:before="0" w:after="80" w:line="300" w:lineRule="auto"/>
      </w:pPr>
      <w:r>
        <w:rPr>
          <w:rFonts w:ascii="Calibri" w:hAnsi="Calibri"/>
          <w:b w:val="0"/>
          <w:i w:val="0"/>
          <w:color w:val="232A32"/>
          <w:sz w:val="21"/>
        </w:rPr>
        <w:t>La imagen y el texto deben representar el mismo paso conceptual; no se usan imágenes decorativas sin función.</w:t>
      </w:r>
    </w:p>
    <w:p>
      <w:pPr>
        <w:pStyle w:val="ListBullet"/>
        <w:spacing w:before="0" w:after="80" w:line="300" w:lineRule="auto"/>
      </w:pPr>
      <w:r>
        <w:rPr>
          <w:rFonts w:ascii="Calibri" w:hAnsi="Calibri"/>
          <w:b w:val="0"/>
          <w:i w:val="0"/>
          <w:color w:val="232A32"/>
          <w:sz w:val="21"/>
        </w:rPr>
        <w:t>La meta de aprendizaje debe aparecer en la diapositiva y desarrollarse literalmente en las notas.</w:t>
      </w:r>
    </w:p>
    <w:p>
      <w:pPr>
        <w:pStyle w:val="Heading1"/>
        <w:keepNext/>
      </w:pPr>
      <w:r>
        <w:t>5. Notas al orador y voz en off</w:t>
      </w:r>
    </w:p>
    <w:p>
      <w:pPr>
        <w:spacing w:before="0" w:after="120" w:line="300" w:lineRule="auto"/>
      </w:pPr>
      <w:r>
        <w:rPr>
          <w:rFonts w:ascii="Calibri" w:hAnsi="Calibri"/>
          <w:b w:val="0"/>
          <w:i w:val="0"/>
          <w:sz w:val="22"/>
        </w:rPr>
        <w:t>Las notas al orador son el guion pedagógico completo. Cada diapositiva debe explicar qué observa el estudiante, qué debe pensar, qué respuesta se espera y cómo se conecta con el paso siguiente.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Elemento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Exigencia</w:t>
            </w:r>
          </w:p>
        </w:tc>
      </w:tr>
      <w:tr>
        <w:tc>
          <w:tcPr>
            <w:tcW w:type="dxa" w:w="1875"/>
            <w:shd w:fill="F7FAFC"/>
          </w:tcPr>
          <w:p>
            <w:pPr>
              <w:spacing w:before="0" w:after="0" w:line="276" w:lineRule="auto"/>
            </w:pPr>
            <w:r>
              <w:rPr>
                <w:rFonts w:ascii="Calibri" w:hAnsi="Calibri"/>
                <w:b w:val="0"/>
                <w:i w:val="0"/>
                <w:color w:val="2D343C"/>
                <w:sz w:val="18"/>
              </w:rPr>
              <w:t>Texto visible</w:t>
            </w:r>
          </w:p>
        </w:tc>
        <w:tc>
          <w:tcPr>
            <w:tcW w:type="dxa" w:w="4625"/>
            <w:shd w:fill="F7FAFC"/>
          </w:tcPr>
          <w:p>
            <w:pPr>
              <w:spacing w:before="0" w:after="0" w:line="276" w:lineRule="auto"/>
            </w:pPr>
            <w:r>
              <w:rPr>
                <w:rFonts w:ascii="Calibri" w:hAnsi="Calibri"/>
                <w:b w:val="0"/>
                <w:i w:val="0"/>
                <w:color w:val="2D343C"/>
                <w:sz w:val="18"/>
              </w:rPr>
              <w:t>Una idea clara, con la pregunta o conclusión del paso.</w:t>
            </w:r>
          </w:p>
        </w:tc>
      </w:tr>
      <w:tr>
        <w:tc>
          <w:tcPr>
            <w:tcW w:type="dxa" w:w="1875"/>
            <w:shd w:fill="FFFFFF"/>
          </w:tcPr>
          <w:p>
            <w:pPr>
              <w:spacing w:before="0" w:after="0" w:line="276" w:lineRule="auto"/>
            </w:pPr>
            <w:r>
              <w:rPr>
                <w:rFonts w:ascii="Calibri" w:hAnsi="Calibri"/>
                <w:b w:val="0"/>
                <w:i w:val="0"/>
                <w:color w:val="2D343C"/>
                <w:sz w:val="18"/>
              </w:rPr>
              <w:t>Narración</w:t>
            </w:r>
          </w:p>
        </w:tc>
        <w:tc>
          <w:tcPr>
            <w:tcW w:type="dxa" w:w="4625"/>
            <w:shd w:fill="FFFFFF"/>
          </w:tcPr>
          <w:p>
            <w:pPr>
              <w:spacing w:before="0" w:after="0" w:line="276" w:lineRule="auto"/>
            </w:pPr>
            <w:r>
              <w:rPr>
                <w:rFonts w:ascii="Calibri" w:hAnsi="Calibri"/>
                <w:b w:val="0"/>
                <w:i w:val="0"/>
                <w:color w:val="2D343C"/>
                <w:sz w:val="18"/>
              </w:rPr>
              <w:t>Explica el razonamiento, no repite mecánicamente el texto visible.</w:t>
            </w:r>
          </w:p>
        </w:tc>
      </w:tr>
      <w:tr>
        <w:tc>
          <w:tcPr>
            <w:tcW w:type="dxa" w:w="1875"/>
            <w:shd w:fill="F7FAFC"/>
          </w:tcPr>
          <w:p>
            <w:pPr>
              <w:spacing w:before="0" w:after="0" w:line="276" w:lineRule="auto"/>
            </w:pPr>
            <w:r>
              <w:rPr>
                <w:rFonts w:ascii="Calibri" w:hAnsi="Calibri"/>
                <w:b w:val="0"/>
                <w:i w:val="0"/>
                <w:color w:val="2D343C"/>
                <w:sz w:val="18"/>
              </w:rPr>
              <w:t>Respuesta</w:t>
            </w:r>
          </w:p>
        </w:tc>
        <w:tc>
          <w:tcPr>
            <w:tcW w:type="dxa" w:w="4625"/>
            <w:shd w:fill="F7FAFC"/>
          </w:tcPr>
          <w:p>
            <w:pPr>
              <w:spacing w:before="0" w:after="0" w:line="276" w:lineRule="auto"/>
            </w:pPr>
            <w:r>
              <w:rPr>
                <w:rFonts w:ascii="Calibri" w:hAnsi="Calibri"/>
                <w:b w:val="0"/>
                <w:i w:val="0"/>
                <w:color w:val="2D343C"/>
                <w:sz w:val="18"/>
              </w:rPr>
              <w:t>Se muestra o se entrega después de la pausa cognitiva.</w:t>
            </w:r>
          </w:p>
        </w:tc>
      </w:tr>
      <w:tr>
        <w:tc>
          <w:tcPr>
            <w:tcW w:type="dxa" w:w="1875"/>
            <w:shd w:fill="FFFFFF"/>
          </w:tcPr>
          <w:p>
            <w:pPr>
              <w:spacing w:before="0" w:after="0" w:line="276" w:lineRule="auto"/>
            </w:pPr>
            <w:r>
              <w:rPr>
                <w:rFonts w:ascii="Calibri" w:hAnsi="Calibri"/>
                <w:b w:val="0"/>
                <w:i w:val="0"/>
                <w:color w:val="2D343C"/>
                <w:sz w:val="18"/>
              </w:rPr>
              <w:t>Feedback</w:t>
            </w:r>
          </w:p>
        </w:tc>
        <w:tc>
          <w:tcPr>
            <w:tcW w:type="dxa" w:w="4625"/>
            <w:shd w:fill="FFFFFF"/>
          </w:tcPr>
          <w:p>
            <w:pPr>
              <w:spacing w:before="0" w:after="0" w:line="276" w:lineRule="auto"/>
            </w:pPr>
            <w:r>
              <w:rPr>
                <w:rFonts w:ascii="Calibri" w:hAnsi="Calibri"/>
                <w:b w:val="0"/>
                <w:i w:val="0"/>
                <w:color w:val="2D343C"/>
                <w:sz w:val="18"/>
              </w:rPr>
              <w:t>Aclara por qué la respuesta es correcta y qué error evita.</w:t>
            </w:r>
          </w:p>
        </w:tc>
      </w:tr>
      <w:tr>
        <w:tc>
          <w:tcPr>
            <w:tcW w:type="dxa" w:w="1875"/>
            <w:shd w:fill="F7FAFC"/>
          </w:tcPr>
          <w:p>
            <w:r>
              <w:t>Notas al orador</w:t>
            </w:r>
          </w:p>
        </w:tc>
        <w:tc>
          <w:tcPr>
            <w:tcW w:type="dxa" w:w="4625"/>
            <w:shd w:fill="F7FAFC"/>
          </w:tcPr>
          <w:p>
            <w:r>
              <w:t>Voz en off completa, integrada en cada diapositiva del PPTX.</w:t>
            </w:r>
          </w:p>
        </w:tc>
      </w:tr>
    </w:tbl>
    <w:p>
      <w:pPr>
        <w:spacing w:after="40"/>
      </w:pPr>
    </w:p>
    <w:p>
      <w:pPr>
        <w:pStyle w:val="Heading1"/>
        <w:keepNext/>
      </w:pPr>
      <w:r>
        <w:rPr>
          <w:rFonts w:ascii="Calibri" w:hAnsi="Calibri"/>
          <w:b/>
          <w:i w:val="0"/>
          <w:color w:val="2E74B5"/>
          <w:sz w:val="32"/>
        </w:rPr>
        <w:t>6. Puertas de calidad antes de entregar</w:t>
      </w:r>
    </w:p>
    <w:p>
      <w:pPr>
        <w:pStyle w:val="ListBullet"/>
        <w:spacing w:before="0" w:after="80" w:line="300" w:lineRule="auto"/>
      </w:pPr>
      <w:r>
        <w:rPr>
          <w:rFonts w:ascii="Calibri" w:hAnsi="Calibri"/>
          <w:b w:val="0"/>
          <w:i w:val="0"/>
          <w:color w:val="232A32"/>
          <w:sz w:val="21"/>
        </w:rPr>
        <w:t>El objetivo y la meta son correctos y están expresados de forma comprensible.</w:t>
      </w:r>
    </w:p>
    <w:p>
      <w:pPr>
        <w:pStyle w:val="ListBullet"/>
        <w:spacing w:before="0" w:after="80" w:line="300" w:lineRule="auto"/>
      </w:pPr>
      <w:r>
        <w:rPr>
          <w:rFonts w:ascii="Calibri" w:hAnsi="Calibri"/>
          <w:b w:val="0"/>
          <w:i w:val="0"/>
          <w:color w:val="232A32"/>
          <w:sz w:val="21"/>
        </w:rPr>
        <w:t>Existe un ejemplo completo, no solo una pregunta o una respuesta final.</w:t>
      </w:r>
    </w:p>
    <w:p>
      <w:pPr>
        <w:pStyle w:val="ListBullet"/>
        <w:spacing w:before="0" w:after="80" w:line="300" w:lineRule="auto"/>
      </w:pPr>
      <w:r>
        <w:rPr>
          <w:rFonts w:ascii="Calibri" w:hAnsi="Calibri"/>
          <w:b w:val="0"/>
          <w:i w:val="0"/>
          <w:color w:val="232A32"/>
          <w:sz w:val="21"/>
        </w:rPr>
        <w:t>Los pasos del ejemplo están en orden y la narración explica las decisiones.</w:t>
      </w:r>
    </w:p>
    <w:p>
      <w:pPr>
        <w:pStyle w:val="ListBullet"/>
        <w:spacing w:before="0" w:after="80" w:line="300" w:lineRule="auto"/>
      </w:pPr>
      <w:r>
        <w:rPr>
          <w:rFonts w:ascii="Calibri" w:hAnsi="Calibri"/>
          <w:b w:val="0"/>
          <w:i w:val="0"/>
          <w:color w:val="232A32"/>
          <w:sz w:val="21"/>
        </w:rPr>
        <w:t>La práctica guiada ocurre después del modelado.</w:t>
      </w:r>
    </w:p>
    <w:p>
      <w:pPr>
        <w:pStyle w:val="ListBullet"/>
        <w:spacing w:before="0" w:after="80" w:line="300" w:lineRule="auto"/>
      </w:pPr>
      <w:r>
        <w:rPr>
          <w:rFonts w:ascii="Calibri" w:hAnsi="Calibri"/>
          <w:b w:val="0"/>
          <w:i w:val="0"/>
          <w:color w:val="232A32"/>
          <w:sz w:val="21"/>
        </w:rPr>
        <w:t>Toda práctica tiene respuesta o feedback explícito.</w:t>
      </w:r>
    </w:p>
    <w:p>
      <w:pPr>
        <w:pStyle w:val="ListBullet"/>
        <w:spacing w:before="0" w:after="80" w:line="300" w:lineRule="auto"/>
      </w:pPr>
      <w:r>
        <w:rPr>
          <w:rFonts w:ascii="Calibri" w:hAnsi="Calibri"/>
          <w:b w:val="0"/>
          <w:i w:val="0"/>
          <w:color w:val="232A32"/>
          <w:sz w:val="21"/>
        </w:rPr>
        <w:t>La transferencia ocurre después de establecer comprensión.</w:t>
      </w:r>
    </w:p>
    <w:p>
      <w:pPr>
        <w:pStyle w:val="ListBullet"/>
        <w:spacing w:before="0" w:after="80" w:line="300" w:lineRule="auto"/>
      </w:pPr>
      <w:r>
        <w:rPr>
          <w:rFonts w:ascii="Calibri" w:hAnsi="Calibri"/>
          <w:b w:val="0"/>
          <w:i w:val="0"/>
          <w:color w:val="232A32"/>
          <w:sz w:val="21"/>
        </w:rPr>
        <w:t>El regreso al Gancho resuelve o ilumina la pregunta inicial.</w:t>
      </w:r>
    </w:p>
    <w:p>
      <w:pPr>
        <w:pStyle w:val="ListBullet"/>
        <w:spacing w:before="0" w:after="80" w:line="300" w:lineRule="auto"/>
      </w:pPr>
      <w:r>
        <w:rPr>
          <w:rFonts w:ascii="Calibri" w:hAnsi="Calibri"/>
          <w:b w:val="0"/>
          <w:i w:val="0"/>
          <w:color w:val="232A32"/>
          <w:sz w:val="21"/>
        </w:rPr>
        <w:t>Las imágenes no repiten escenas de otros OA y no contienen errores conceptuales.</w:t>
      </w:r>
    </w:p>
    <w:p>
      <w:pPr>
        <w:pStyle w:val="ListBullet"/>
        <w:spacing w:before="0" w:after="80" w:line="300" w:lineRule="auto"/>
      </w:pPr>
      <w:r>
        <w:rPr>
          <w:rFonts w:ascii="Calibri" w:hAnsi="Calibri"/>
          <w:b w:val="0"/>
          <w:i w:val="0"/>
          <w:color w:val="232A32"/>
          <w:sz w:val="21"/>
        </w:rPr>
        <w:t>El PPTX abre, se renderiza y no presenta desbordes, cortes ni texto ilegible.</w:t>
      </w:r>
    </w:p>
    <w:p>
      <w:pPr>
        <w:pStyle w:val="ListBullet"/>
        <w:spacing w:before="0" w:after="8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t>Entrega: un PPTX por presentación, sin archivos separados.</w:t>
            </w:r>
          </w:p>
        </w:tc>
      </w:tr>
    </w:tbl>
    <w:p>
      <w:pPr>
        <w:spacing w:after="40"/>
      </w:pPr>
    </w:p>
    <w:p>
      <w:pPr>
        <w:pStyle w:val="Heading1"/>
        <w:keepNext/>
      </w:pPr>
      <w:r>
        <w:rPr>
          <w:rFonts w:ascii="Calibri" w:hAnsi="Calibri"/>
          <w:b/>
          <w:i w:val="0"/>
          <w:color w:val="2E74B5"/>
          <w:sz w:val="32"/>
        </w:rPr>
        <w:t>7. Nomenclatura y entrega</w:t>
      </w:r>
    </w:p>
    <w:p>
      <w:pPr>
        <w:spacing w:before="0" w:after="120" w:line="300" w:lineRule="auto"/>
      </w:pPr>
      <w:r>
        <w:rPr>
          <w:rFonts w:ascii="Calibri" w:hAnsi="Calibri"/>
          <w:b w:val="0"/>
          <w:i w:val="0"/>
          <w:sz w:val="22"/>
        </w:rPr>
        <w:t>La nomenclatura se construye con la asignatura y el OA real. No se agregan sufijos, versiones, fechas ni textos auxiliares al nombre base.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r>
              <w:t>Presentación</w:t>
            </w:r>
          </w:p>
        </w:tc>
        <w:tc>
          <w:tcPr>
            <w:tcW w:type="dxa" w:w="4625"/>
            <w:tcMar>
              <w:top w:w="80" w:type="dxa"/>
              <w:start w:w="120" w:type="dxa"/>
              <w:bottom w:w="80" w:type="dxa"/>
              <w:end w:w="120" w:type="dxa"/>
            </w:tcMar>
            <w:vAlign w:val="center"/>
            <w:shd w:fill="E8EEF5"/>
          </w:tcPr>
          <w:p>
            <w:r>
              <w:t>Nombre del PPTX</w:t>
            </w:r>
          </w:p>
        </w:tc>
      </w:tr>
      <w:tr>
        <w:tc>
          <w:tcPr>
            <w:tcW w:type="dxa" w:w="1875"/>
            <w:shd w:fill="F7FAFC"/>
          </w:tcPr>
          <w:p>
            <w:pPr>
              <w:spacing w:before="0" w:after="0" w:line="276" w:lineRule="auto"/>
            </w:pPr>
            <w:r>
              <w:rPr>
                <w:rFonts w:ascii="Calibri" w:hAnsi="Calibri"/>
                <w:b w:val="0"/>
                <w:i w:val="0"/>
                <w:color w:val="2D343C"/>
                <w:sz w:val="18"/>
              </w:rPr>
              <w:t>Gancho</w:t>
            </w:r>
          </w:p>
        </w:tc>
        <w:tc>
          <w:tcPr>
            <w:tcW w:type="dxa" w:w="4625"/>
            <w:shd w:fill="F7FAFC"/>
          </w:tcPr>
          <w:p>
            <w:r>
              <w:t>110-7-[SIGLA]-OA[NN]-GANCHO.pptx</w:t>
            </w:r>
          </w:p>
        </w:tc>
      </w:tr>
      <w:tr>
        <w:tc>
          <w:tcPr>
            <w:tcW w:type="dxa" w:w="1875"/>
            <w:shd w:fill="FFFFFF"/>
          </w:tcPr>
          <w:p>
            <w:pPr>
              <w:spacing w:before="0" w:after="0" w:line="276" w:lineRule="auto"/>
            </w:pPr>
            <w:r>
              <w:rPr>
                <w:rFonts w:ascii="Calibri" w:hAnsi="Calibri"/>
                <w:b w:val="0"/>
                <w:i w:val="0"/>
                <w:color w:val="2D343C"/>
                <w:sz w:val="18"/>
              </w:rPr>
              <w:t>Lección</w:t>
            </w:r>
          </w:p>
        </w:tc>
        <w:tc>
          <w:tcPr>
            <w:tcW w:type="dxa" w:w="4625"/>
            <w:shd w:fill="FFFFFF"/>
          </w:tcPr>
          <w:p>
            <w:r>
              <w:t>110-7-[SIGLA]-OA[NN]-LECCION.pptx</w:t>
            </w:r>
          </w:p>
        </w:tc>
      </w:tr>
    </w:tbl>
    <w:p>
      <w:pPr>
        <w:spacing w:after="40"/>
      </w:pPr>
    </w:p>
    <w:p>
      <w:pPr>
        <w:spacing w:before="0" w:after="120" w:line="300" w:lineRule="auto"/>
      </w:pPr>
      <w:r>
        <w:t>Las notas al orador de cada diapositiva contienen la voz en off completa y se revisan dentro del PPTX.</w:t>
      </w:r>
    </w:p>
    <w:p>
      <w:pPr>
        <w:pStyle w:val="Heading1"/>
        <w:keepNext/>
      </w:pPr>
      <w:r>
        <w:rPr>
          <w:rFonts w:ascii="Calibri" w:hAnsi="Calibri"/>
          <w:b/>
          <w:i w:val="0"/>
          <w:color w:val="2E74B5"/>
          <w:sz w:val="32"/>
        </w:rPr>
        <w:t>8. Flujo de trabajo obligatorio</w:t>
      </w:r>
    </w:p>
    <w:p>
      <w:pPr>
        <w:keepLines/>
        <w:spacing w:before="0" w:after="60" w:line="300" w:lineRule="auto"/>
        <w:ind w:left="403" w:hanging="403"/>
      </w:pPr>
      <w:r>
        <w:t>1. Extraer el OA, sus indicadores y el alcance desde el temario oficial.</w:t>
      </w:r>
    </w:p>
    <w:p>
      <w:pPr>
        <w:keepLines/>
        <w:spacing w:before="0" w:after="60" w:line="300" w:lineRule="auto"/>
        <w:ind w:left="403" w:hanging="403"/>
      </w:pPr>
      <w:r>
        <w:t>2. Completar la Ficha Maestra de la Lección.</w:t>
      </w:r>
    </w:p>
    <w:p>
      <w:pPr>
        <w:keepLines/>
        <w:spacing w:before="0" w:after="60" w:line="300" w:lineRule="auto"/>
        <w:ind w:left="403" w:hanging="403"/>
      </w:pPr>
      <w:r>
        <w:t>3. Diseñar el Gancho de 60 segundos y su pregunta de apertura.</w:t>
      </w:r>
    </w:p>
    <w:p>
      <w:pPr>
        <w:keepLines/>
        <w:spacing w:before="0" w:after="60" w:line="300" w:lineRule="auto"/>
        <w:ind w:left="403" w:hanging="403"/>
      </w:pPr>
      <w:r>
        <w:t>4. Definir el objetivo específico y ubicarlo en la diapositiva 1 explicativa.</w:t>
      </w:r>
    </w:p>
    <w:p>
      <w:pPr>
        <w:keepLines/>
        <w:spacing w:before="0" w:after="60" w:line="300" w:lineRule="auto"/>
        <w:ind w:left="403" w:hanging="403"/>
      </w:pPr>
      <w:r>
        <w:t>5. Preparar la explicación de 90 segundos con un ejemplo modelado y sin desafío final.</w:t>
      </w:r>
    </w:p>
    <w:p>
      <w:pPr>
        <w:keepLines/>
        <w:spacing w:before="0" w:after="60" w:line="300" w:lineRule="auto"/>
        <w:ind w:left="403" w:hanging="403"/>
      </w:pPr>
      <w:r>
        <w:t>6. Montar un único PPTX por presentación, con imagen, texto o matemática y notas de voz en off.</w:t>
      </w:r>
    </w:p>
    <w:p>
      <w:pPr>
        <w:keepLines/>
        <w:spacing w:before="0" w:after="60" w:line="300" w:lineRule="auto"/>
        <w:ind w:left="403" w:hanging="403"/>
      </w:pPr>
      <w:r>
        <w:t>7. Revisar contenido, duración exacta, subtítulo, contraste y presencia de ambos protagonistas.</w:t>
      </w:r>
    </w:p>
    <w:p>
      <w:pPr>
        <w:keepLines/>
        <w:spacing w:before="0" w:after="60" w:line="300" w:lineRule="auto"/>
        <w:ind w:left="403" w:hanging="403"/>
      </w:pPr>
      <w:r>
        <w:t>8. Abrir, renderizar y guardar el PPTX validado con sus notas.</w:t>
      </w:r>
    </w:p>
    <w:p>
      <w:pPr>
        <w:pStyle w:val="Heading1"/>
        <w:keepNext/>
      </w:pPr>
      <w:r>
        <w:rPr>
          <w:rFonts w:ascii="Calibri" w:hAnsi="Calibri"/>
          <w:b/>
          <w:i w:val="0"/>
          <w:color w:val="2E74B5"/>
          <w:sz w:val="32"/>
        </w:rPr>
        <w:t>9. Identidad didáctica de la asignatura</w:t>
      </w:r>
    </w:p>
    <w:p>
      <w:pPr>
        <w:spacing w:before="0" w:after="120" w:line="300" w:lineRule="auto"/>
      </w:pPr>
      <w:r>
        <w:rPr>
          <w:rFonts w:ascii="Calibri" w:hAnsi="Calibri"/>
          <w:b w:val="0"/>
          <w:i w:val="0"/>
          <w:sz w:val="22"/>
        </w:rPr>
        <w:t>Ciencias Naturales debe llevar al estudiante desde un fenómeno observable hacia una explicación basada en modelos, evidencias y relaciones causales. La Lección debe diferenciar observar, describir, explicar, predecir y concluir.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PREGUNTA DE CONTROL  </w:t>
            </w:r>
            <w:r>
              <w:rPr>
                <w:rFonts w:ascii="Calibri" w:hAnsi="Calibri"/>
                <w:b w:val="0"/>
                <w:i w:val="0"/>
                <w:color w:val="2D343C"/>
                <w:sz w:val="21"/>
              </w:rPr>
              <w:t>¿Puede el estudiante explicar un fenómeno usando un modelo científico y distinguir la evidencia de una simple opinión o predicción?</w:t>
            </w:r>
          </w:p>
        </w:tc>
      </w:tr>
    </w:tbl>
    <w:p>
      <w:pPr>
        <w:spacing w:after="40"/>
      </w:pPr>
    </w:p>
    <w:p>
      <w:pPr>
        <w:pStyle w:val="Heading1"/>
        <w:keepNext/>
      </w:pPr>
      <w:r>
        <w:rPr>
          <w:rFonts w:ascii="Calibri" w:hAnsi="Calibri"/>
          <w:b/>
          <w:i w:val="0"/>
          <w:color w:val="2E74B5"/>
          <w:sz w:val="32"/>
        </w:rPr>
        <w:t>10. Arquitectura disciplinar del ejemplo completo</w:t>
      </w:r>
    </w:p>
    <w:p>
      <w:pPr>
        <w:spacing w:before="0" w:after="120" w:line="300" w:lineRule="auto"/>
      </w:pPr>
      <w:r>
        <w:rPr>
          <w:rFonts w:ascii="Calibri" w:hAnsi="Calibri"/>
          <w:b w:val="0"/>
          <w:i w:val="0"/>
          <w:sz w:val="22"/>
        </w:rPr>
        <w:t>El ejemplo científico sigue una investigación guiada: se observa el fenómeno, se formula una pregunta, se propone una explicación inicial, se analizan datos o un modelo, se revisa la hipótesis y se redacta una conclusión con evidencia.</w:t>
      </w:r>
    </w:p>
    <w:tbl>
      <w:tblPr>
        <w:tblW w:type="dxa" w:w="9360"/>
        <w:jc w:val="left"/>
        <w:tblLayout w:type="fixed"/>
        <w:tblLook w:firstColumn="1" w:firstRow="1" w:lastColumn="0" w:lastRow="0" w:noHBand="0" w:noVBand="1" w:val="04A0"/>
        <w:tblInd w:w="120" w:type="dxa"/>
      </w:tblPr>
      <w:tblGrid>
        <w:gridCol w:w="1250"/>
        <w:gridCol w:w="3900"/>
        <w:gridCol w:w="4210"/>
      </w:tblGrid>
      <w:tr>
        <w:tc>
          <w:tcPr>
            <w:tcW w:type="dxa" w:w="125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Paso</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hacer el estudiante</w:t>
            </w:r>
          </w:p>
        </w:tc>
        <w:tc>
          <w:tcPr>
            <w:tcW w:type="dxa" w:w="421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mostrar la Lección</w:t>
            </w:r>
          </w:p>
        </w:tc>
      </w:tr>
      <w:tr>
        <w:tc>
          <w:tcPr>
            <w:tcW w:type="dxa" w:w="1250"/>
            <w:shd w:fill="F7FAFC"/>
          </w:tcPr>
          <w:p>
            <w:pPr>
              <w:spacing w:before="0" w:after="0" w:line="276" w:lineRule="auto"/>
            </w:pPr>
            <w:r>
              <w:rPr>
                <w:rFonts w:ascii="Calibri" w:hAnsi="Calibri"/>
                <w:b w:val="0"/>
                <w:i w:val="0"/>
                <w:color w:val="2D343C"/>
                <w:sz w:val="18"/>
              </w:rPr>
              <w:t>1</w:t>
            </w:r>
          </w:p>
        </w:tc>
        <w:tc>
          <w:tcPr>
            <w:tcW w:type="dxa" w:w="3900"/>
            <w:shd w:fill="F7FAFC"/>
          </w:tcPr>
          <w:p>
            <w:pPr>
              <w:spacing w:before="0" w:after="0" w:line="276" w:lineRule="auto"/>
            </w:pPr>
            <w:r>
              <w:rPr>
                <w:rFonts w:ascii="Calibri" w:hAnsi="Calibri"/>
                <w:b w:val="0"/>
                <w:i w:val="0"/>
                <w:color w:val="2D343C"/>
                <w:sz w:val="18"/>
              </w:rPr>
              <w:t>Describir lo observable sin explicar todavía.</w:t>
            </w:r>
          </w:p>
        </w:tc>
        <w:tc>
          <w:tcPr>
            <w:tcW w:type="dxa" w:w="4210"/>
            <w:shd w:fill="F7FAFC"/>
          </w:tcPr>
          <w:p>
            <w:pPr>
              <w:spacing w:before="0" w:after="0" w:line="276" w:lineRule="auto"/>
            </w:pPr>
            <w:r>
              <w:rPr>
                <w:rFonts w:ascii="Calibri" w:hAnsi="Calibri"/>
                <w:b w:val="0"/>
                <w:i w:val="0"/>
                <w:color w:val="2D343C"/>
                <w:sz w:val="18"/>
              </w:rPr>
              <w:t>Se separa observación de interpretación y se identifican variables.</w:t>
            </w:r>
          </w:p>
        </w:tc>
      </w:tr>
      <w:tr>
        <w:tc>
          <w:tcPr>
            <w:tcW w:type="dxa" w:w="1250"/>
            <w:shd w:fill="FFFFFF"/>
          </w:tcPr>
          <w:p>
            <w:pPr>
              <w:spacing w:before="0" w:after="0" w:line="276" w:lineRule="auto"/>
            </w:pPr>
            <w:r>
              <w:rPr>
                <w:rFonts w:ascii="Calibri" w:hAnsi="Calibri"/>
                <w:b w:val="0"/>
                <w:i w:val="0"/>
                <w:color w:val="2D343C"/>
                <w:sz w:val="18"/>
              </w:rPr>
              <w:t>2</w:t>
            </w:r>
          </w:p>
        </w:tc>
        <w:tc>
          <w:tcPr>
            <w:tcW w:type="dxa" w:w="3900"/>
            <w:shd w:fill="FFFFFF"/>
          </w:tcPr>
          <w:p>
            <w:pPr>
              <w:spacing w:before="0" w:after="0" w:line="276" w:lineRule="auto"/>
            </w:pPr>
            <w:r>
              <w:rPr>
                <w:rFonts w:ascii="Calibri" w:hAnsi="Calibri"/>
                <w:b w:val="0"/>
                <w:i w:val="0"/>
                <w:color w:val="2D343C"/>
                <w:sz w:val="18"/>
              </w:rPr>
              <w:t>Formular la pregunta y la predicción.</w:t>
            </w:r>
          </w:p>
        </w:tc>
        <w:tc>
          <w:tcPr>
            <w:tcW w:type="dxa" w:w="4210"/>
            <w:shd w:fill="FFFFFF"/>
          </w:tcPr>
          <w:p>
            <w:pPr>
              <w:spacing w:before="0" w:after="0" w:line="276" w:lineRule="auto"/>
            </w:pPr>
            <w:r>
              <w:rPr>
                <w:rFonts w:ascii="Calibri" w:hAnsi="Calibri"/>
                <w:b w:val="0"/>
                <w:i w:val="0"/>
                <w:color w:val="2D343C"/>
                <w:sz w:val="18"/>
              </w:rPr>
              <w:t>La predicción se conecta con una relación causal o modelo.</w:t>
            </w:r>
          </w:p>
        </w:tc>
      </w:tr>
      <w:tr>
        <w:tc>
          <w:tcPr>
            <w:tcW w:type="dxa" w:w="1250"/>
            <w:shd w:fill="F7FAFC"/>
          </w:tcPr>
          <w:p>
            <w:pPr>
              <w:spacing w:before="0" w:after="0" w:line="276" w:lineRule="auto"/>
            </w:pPr>
            <w:r>
              <w:rPr>
                <w:rFonts w:ascii="Calibri" w:hAnsi="Calibri"/>
                <w:b w:val="0"/>
                <w:i w:val="0"/>
                <w:color w:val="2D343C"/>
                <w:sz w:val="18"/>
              </w:rPr>
              <w:t>3</w:t>
            </w:r>
          </w:p>
        </w:tc>
        <w:tc>
          <w:tcPr>
            <w:tcW w:type="dxa" w:w="3900"/>
            <w:shd w:fill="F7FAFC"/>
          </w:tcPr>
          <w:p>
            <w:pPr>
              <w:spacing w:before="0" w:after="0" w:line="276" w:lineRule="auto"/>
            </w:pPr>
            <w:r>
              <w:rPr>
                <w:rFonts w:ascii="Calibri" w:hAnsi="Calibri"/>
                <w:b w:val="0"/>
                <w:i w:val="0"/>
                <w:color w:val="2D343C"/>
                <w:sz w:val="18"/>
              </w:rPr>
              <w:t>Analizar evidencia, datos o representación.</w:t>
            </w:r>
          </w:p>
        </w:tc>
        <w:tc>
          <w:tcPr>
            <w:tcW w:type="dxa" w:w="4210"/>
            <w:shd w:fill="F7FAFC"/>
          </w:tcPr>
          <w:p>
            <w:pPr>
              <w:spacing w:before="0" w:after="0" w:line="276" w:lineRule="auto"/>
            </w:pPr>
            <w:r>
              <w:rPr>
                <w:rFonts w:ascii="Calibri" w:hAnsi="Calibri"/>
                <w:b w:val="0"/>
                <w:i w:val="0"/>
                <w:color w:val="2D343C"/>
                <w:sz w:val="18"/>
              </w:rPr>
              <w:t>Se lee tabla, gráfico, esquema o resultado experimental paso a paso.</w:t>
            </w:r>
          </w:p>
        </w:tc>
      </w:tr>
      <w:tr>
        <w:tc>
          <w:tcPr>
            <w:tcW w:type="dxa" w:w="1250"/>
            <w:shd w:fill="FFFFFF"/>
          </w:tcPr>
          <w:p>
            <w:pPr>
              <w:spacing w:before="0" w:after="0" w:line="276" w:lineRule="auto"/>
            </w:pPr>
            <w:r>
              <w:rPr>
                <w:rFonts w:ascii="Calibri" w:hAnsi="Calibri"/>
                <w:b w:val="0"/>
                <w:i w:val="0"/>
                <w:color w:val="2D343C"/>
                <w:sz w:val="18"/>
              </w:rPr>
              <w:t>4</w:t>
            </w:r>
          </w:p>
        </w:tc>
        <w:tc>
          <w:tcPr>
            <w:tcW w:type="dxa" w:w="3900"/>
            <w:shd w:fill="FFFFFF"/>
          </w:tcPr>
          <w:p>
            <w:pPr>
              <w:spacing w:before="0" w:after="0" w:line="276" w:lineRule="auto"/>
            </w:pPr>
            <w:r>
              <w:rPr>
                <w:rFonts w:ascii="Calibri" w:hAnsi="Calibri"/>
                <w:b w:val="0"/>
                <w:i w:val="0"/>
                <w:color w:val="2D343C"/>
                <w:sz w:val="18"/>
              </w:rPr>
              <w:t>Aplicar el modelo científico.</w:t>
            </w:r>
          </w:p>
        </w:tc>
        <w:tc>
          <w:tcPr>
            <w:tcW w:type="dxa" w:w="4210"/>
            <w:shd w:fill="FFFFFF"/>
          </w:tcPr>
          <w:p>
            <w:pPr>
              <w:spacing w:before="0" w:after="0" w:line="276" w:lineRule="auto"/>
            </w:pPr>
            <w:r>
              <w:rPr>
                <w:rFonts w:ascii="Calibri" w:hAnsi="Calibri"/>
                <w:b w:val="0"/>
                <w:i w:val="0"/>
                <w:color w:val="2D343C"/>
                <w:sz w:val="18"/>
              </w:rPr>
              <w:t>Se explica qué mecanismo relaciona la evidencia con el fenómeno.</w:t>
            </w:r>
          </w:p>
        </w:tc>
      </w:tr>
      <w:tr>
        <w:tc>
          <w:tcPr>
            <w:tcW w:type="dxa" w:w="1250"/>
            <w:shd w:fill="F7FAFC"/>
          </w:tcPr>
          <w:p>
            <w:pPr>
              <w:spacing w:before="0" w:after="0" w:line="276" w:lineRule="auto"/>
            </w:pPr>
            <w:r>
              <w:rPr>
                <w:rFonts w:ascii="Calibri" w:hAnsi="Calibri"/>
                <w:b w:val="0"/>
                <w:i w:val="0"/>
                <w:color w:val="2D343C"/>
                <w:sz w:val="18"/>
              </w:rPr>
              <w:t>5</w:t>
            </w:r>
          </w:p>
        </w:tc>
        <w:tc>
          <w:tcPr>
            <w:tcW w:type="dxa" w:w="3900"/>
            <w:shd w:fill="F7FAFC"/>
          </w:tcPr>
          <w:p>
            <w:pPr>
              <w:spacing w:before="0" w:after="0" w:line="276" w:lineRule="auto"/>
            </w:pPr>
            <w:r>
              <w:rPr>
                <w:rFonts w:ascii="Calibri" w:hAnsi="Calibri"/>
                <w:b w:val="0"/>
                <w:i w:val="0"/>
                <w:color w:val="2D343C"/>
                <w:sz w:val="18"/>
              </w:rPr>
              <w:t>Concluir y evaluar límites.</w:t>
            </w:r>
          </w:p>
        </w:tc>
        <w:tc>
          <w:tcPr>
            <w:tcW w:type="dxa" w:w="4210"/>
            <w:shd w:fill="F7FAFC"/>
          </w:tcPr>
          <w:p>
            <w:pPr>
              <w:spacing w:before="0" w:after="0" w:line="276" w:lineRule="auto"/>
            </w:pPr>
            <w:r>
              <w:rPr>
                <w:rFonts w:ascii="Calibri" w:hAnsi="Calibri"/>
                <w:b w:val="0"/>
                <w:i w:val="0"/>
                <w:color w:val="2D343C"/>
                <w:sz w:val="18"/>
              </w:rPr>
              <w:t>Conclusión con evidencia, condición y posible nueva pregunta.</w:t>
            </w:r>
          </w:p>
        </w:tc>
      </w:tr>
    </w:tbl>
    <w:p>
      <w:pPr>
        <w:spacing w:after="40"/>
      </w:pPr>
    </w:p>
    <w:p>
      <w:pPr>
        <w:pStyle w:val="Heading1"/>
        <w:keepNext/>
      </w:pPr>
      <w:r>
        <w:rPr>
          <w:rFonts w:ascii="Calibri" w:hAnsi="Calibri"/>
          <w:b/>
          <w:i w:val="0"/>
          <w:color w:val="2E74B5"/>
          <w:sz w:val="32"/>
        </w:rPr>
        <w:t>11. Práctica guiada, feedback y transferencia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Fase</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Regla disciplinar</w:t>
            </w:r>
          </w:p>
        </w:tc>
      </w:tr>
      <w:tr>
        <w:tc>
          <w:tcPr>
            <w:tcW w:type="dxa" w:w="1900"/>
            <w:shd w:fill="F7FAFC"/>
          </w:tcPr>
          <w:p>
            <w:pPr>
              <w:spacing w:before="0" w:after="0" w:line="276" w:lineRule="auto"/>
            </w:pPr>
            <w:r>
              <w:rPr>
                <w:rFonts w:ascii="Calibri" w:hAnsi="Calibri"/>
                <w:b w:val="0"/>
                <w:i w:val="0"/>
                <w:color w:val="2D343C"/>
                <w:sz w:val="18"/>
              </w:rPr>
              <w:t>Guiada</w:t>
            </w:r>
          </w:p>
        </w:tc>
        <w:tc>
          <w:tcPr>
            <w:tcW w:type="dxa" w:w="7460"/>
            <w:shd w:fill="F7FAFC"/>
          </w:tcPr>
          <w:p>
            <w:pPr>
              <w:spacing w:before="0" w:after="0" w:line="276" w:lineRule="auto"/>
            </w:pPr>
            <w:r>
              <w:rPr>
                <w:rFonts w:ascii="Calibri" w:hAnsi="Calibri"/>
                <w:b w:val="0"/>
                <w:i w:val="0"/>
                <w:color w:val="2D343C"/>
                <w:sz w:val="18"/>
              </w:rPr>
              <w:t>Se entrega un fenómeno cercano y se completa una secuencia observar → explicar → evidenciar → concluir.</w:t>
            </w:r>
          </w:p>
        </w:tc>
      </w:tr>
      <w:tr>
        <w:tc>
          <w:tcPr>
            <w:tcW w:type="dxa" w:w="1900"/>
            <w:shd w:fill="FFFFFF"/>
          </w:tcPr>
          <w:p>
            <w:pPr>
              <w:spacing w:before="0" w:after="0" w:line="276" w:lineRule="auto"/>
            </w:pPr>
            <w:r>
              <w:rPr>
                <w:rFonts w:ascii="Calibri" w:hAnsi="Calibri"/>
                <w:b w:val="0"/>
                <w:i w:val="0"/>
                <w:color w:val="2D343C"/>
                <w:sz w:val="18"/>
              </w:rPr>
              <w:t>Feedback</w:t>
            </w:r>
          </w:p>
        </w:tc>
        <w:tc>
          <w:tcPr>
            <w:tcW w:type="dxa" w:w="7460"/>
            <w:shd w:fill="FFFFFF"/>
          </w:tcPr>
          <w:p>
            <w:pPr>
              <w:spacing w:before="0" w:after="0" w:line="276" w:lineRule="auto"/>
            </w:pPr>
            <w:r>
              <w:rPr>
                <w:rFonts w:ascii="Calibri" w:hAnsi="Calibri"/>
                <w:b w:val="0"/>
                <w:i w:val="0"/>
                <w:color w:val="2D343C"/>
                <w:sz w:val="18"/>
              </w:rPr>
              <w:t>Se revisa una respuesta que describe pero no explica, y se agrega el mecanismo o evidencia faltante.</w:t>
            </w:r>
          </w:p>
        </w:tc>
      </w:tr>
      <w:tr>
        <w:tc>
          <w:tcPr>
            <w:tcW w:type="dxa" w:w="1900"/>
            <w:shd w:fill="F7FAFC"/>
          </w:tcPr>
          <w:p>
            <w:pPr>
              <w:spacing w:before="0" w:after="0" w:line="276" w:lineRule="auto"/>
            </w:pPr>
            <w:r>
              <w:rPr>
                <w:rFonts w:ascii="Calibri" w:hAnsi="Calibri"/>
                <w:b w:val="0"/>
                <w:i w:val="0"/>
                <w:color w:val="2D343C"/>
                <w:sz w:val="18"/>
              </w:rPr>
              <w:t>Transferencia</w:t>
            </w:r>
          </w:p>
        </w:tc>
        <w:tc>
          <w:tcPr>
            <w:tcW w:type="dxa" w:w="7460"/>
            <w:shd w:fill="F7FAFC"/>
          </w:tcPr>
          <w:p>
            <w:pPr>
              <w:spacing w:before="0" w:after="0" w:line="276" w:lineRule="auto"/>
            </w:pPr>
            <w:r>
              <w:rPr>
                <w:rFonts w:ascii="Calibri" w:hAnsi="Calibri"/>
                <w:b w:val="0"/>
                <w:i w:val="0"/>
                <w:color w:val="2D343C"/>
                <w:sz w:val="18"/>
              </w:rPr>
              <w:t>Se cambia el contexto, material o variable para comprobar si el modelo se puede aplicar.</w:t>
            </w:r>
          </w:p>
        </w:tc>
      </w:tr>
    </w:tbl>
    <w:p>
      <w:pPr>
        <w:spacing w:after="40"/>
      </w:pPr>
    </w:p>
    <w:p>
      <w:pPr>
        <w:pStyle w:val="Heading1"/>
        <w:keepNext/>
      </w:pPr>
      <w:r>
        <w:rPr>
          <w:rFonts w:ascii="Calibri" w:hAnsi="Calibri"/>
          <w:b/>
          <w:i w:val="0"/>
          <w:color w:val="2E74B5"/>
          <w:sz w:val="32"/>
        </w:rPr>
        <w:t>12. Errores que el plan debe prevenir</w:t>
      </w:r>
    </w:p>
    <w:p>
      <w:pPr>
        <w:pStyle w:val="ListBullet"/>
        <w:spacing w:before="0" w:after="80" w:line="300" w:lineRule="auto"/>
      </w:pPr>
      <w:r>
        <w:rPr>
          <w:rFonts w:ascii="Calibri" w:hAnsi="Calibri"/>
          <w:b w:val="0"/>
          <w:i w:val="0"/>
          <w:color w:val="232A32"/>
          <w:sz w:val="21"/>
        </w:rPr>
        <w:t>Confundir observación con explicación.</w:t>
      </w:r>
    </w:p>
    <w:p>
      <w:pPr>
        <w:pStyle w:val="ListBullet"/>
        <w:spacing w:before="0" w:after="80" w:line="300" w:lineRule="auto"/>
      </w:pPr>
      <w:r>
        <w:rPr>
          <w:rFonts w:ascii="Calibri" w:hAnsi="Calibri"/>
          <w:b w:val="0"/>
          <w:i w:val="0"/>
          <w:color w:val="232A32"/>
          <w:sz w:val="21"/>
        </w:rPr>
        <w:t>Tratar una predicción como resultado comprobado.</w:t>
      </w:r>
    </w:p>
    <w:p>
      <w:pPr>
        <w:pStyle w:val="ListBullet"/>
        <w:spacing w:before="0" w:after="80" w:line="300" w:lineRule="auto"/>
      </w:pPr>
      <w:r>
        <w:rPr>
          <w:rFonts w:ascii="Calibri" w:hAnsi="Calibri"/>
          <w:b w:val="0"/>
          <w:i w:val="0"/>
          <w:color w:val="232A32"/>
          <w:sz w:val="21"/>
        </w:rPr>
        <w:t>Leer gráficos sin identificar variables y unidades.</w:t>
      </w:r>
    </w:p>
    <w:p>
      <w:pPr>
        <w:pStyle w:val="ListBullet"/>
        <w:spacing w:before="0" w:after="80" w:line="300" w:lineRule="auto"/>
      </w:pPr>
      <w:r>
        <w:rPr>
          <w:rFonts w:ascii="Calibri" w:hAnsi="Calibri"/>
          <w:b w:val="0"/>
          <w:i w:val="0"/>
          <w:color w:val="232A32"/>
          <w:sz w:val="21"/>
        </w:rPr>
        <w:t>Usar vocabulario científico sin conectar conceptos con el fenómeno.</w:t>
      </w:r>
    </w:p>
    <w:p>
      <w:pPr>
        <w:pStyle w:val="ListBullet"/>
        <w:spacing w:before="0" w:after="80" w:line="300" w:lineRule="auto"/>
      </w:pPr>
      <w:r>
        <w:rPr>
          <w:rFonts w:ascii="Calibri" w:hAnsi="Calibri"/>
          <w:b w:val="0"/>
          <w:i w:val="0"/>
          <w:color w:val="232A32"/>
          <w:sz w:val="21"/>
        </w:rPr>
        <w:t>Entregar una conclusión que no responde la pregunta inicial.</w:t>
      </w:r>
    </w:p>
    <w:p>
      <w:pPr>
        <w:pStyle w:val="Heading1"/>
        <w:keepNext/>
      </w:pPr>
      <w:r>
        <w:rPr>
          <w:rFonts w:ascii="Calibri" w:hAnsi="Calibri"/>
          <w:b/>
          <w:i w:val="0"/>
          <w:color w:val="2E74B5"/>
          <w:sz w:val="32"/>
        </w:rPr>
        <w:t>13. Indicadores de una Lección comprensible</w:t>
      </w:r>
    </w:p>
    <w:p>
      <w:pPr>
        <w:pStyle w:val="ListBullet"/>
        <w:spacing w:before="0" w:after="80" w:line="300" w:lineRule="auto"/>
      </w:pPr>
      <w:r>
        <w:rPr>
          <w:rFonts w:ascii="Calibri" w:hAnsi="Calibri"/>
          <w:b w:val="0"/>
          <w:i w:val="0"/>
          <w:color w:val="232A32"/>
          <w:sz w:val="21"/>
        </w:rPr>
        <w:t>El ejemplo muestra qué se observa, qué se infiere y qué evidencia sostiene la explicación.</w:t>
      </w:r>
    </w:p>
    <w:p>
      <w:pPr>
        <w:pStyle w:val="ListBullet"/>
        <w:spacing w:before="0" w:after="80" w:line="300" w:lineRule="auto"/>
      </w:pPr>
      <w:r>
        <w:rPr>
          <w:rFonts w:ascii="Calibri" w:hAnsi="Calibri"/>
          <w:b w:val="0"/>
          <w:i w:val="0"/>
          <w:color w:val="232A32"/>
          <w:sz w:val="21"/>
        </w:rPr>
        <w:t>El modelo científico se usa para explicar, no solo se define.</w:t>
      </w:r>
    </w:p>
    <w:p>
      <w:pPr>
        <w:pStyle w:val="ListBullet"/>
        <w:spacing w:before="0" w:after="80" w:line="300" w:lineRule="auto"/>
      </w:pPr>
      <w:r>
        <w:rPr>
          <w:rFonts w:ascii="Calibri" w:hAnsi="Calibri"/>
          <w:b w:val="0"/>
          <w:i w:val="0"/>
          <w:color w:val="232A32"/>
          <w:sz w:val="21"/>
        </w:rPr>
        <w:t>La conclusión vuelve a la pregunta inicial.</w:t>
      </w:r>
    </w:p>
    <w:p>
      <w:pPr>
        <w:pStyle w:val="ListBullet"/>
        <w:spacing w:before="0" w:after="80" w:line="300" w:lineRule="auto"/>
      </w:pPr>
      <w:r>
        <w:rPr>
          <w:rFonts w:ascii="Calibri" w:hAnsi="Calibri"/>
          <w:b w:val="0"/>
          <w:i w:val="0"/>
          <w:color w:val="232A32"/>
          <w:sz w:val="21"/>
        </w:rPr>
        <w:t>La transferencia modifica una variable o contexto sin cambiar el concepto central.</w:t>
      </w:r>
    </w:p>
    <w:p>
      <w:pPr>
        <w:pStyle w:val="Heading1"/>
        <w:keepNext/>
      </w:pPr>
      <w:r>
        <w:rPr>
          <w:rFonts w:ascii="Calibri" w:hAnsi="Calibri"/>
          <w:b/>
          <w:i w:val="0"/>
          <w:color w:val="2E74B5"/>
          <w:sz w:val="32"/>
        </w:rPr>
        <w:t>14. Criterio de cierre del OA</w:t>
      </w:r>
    </w:p>
    <w:p>
      <w:pPr>
        <w:spacing w:before="0" w:after="12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FÓRMULA DE APROBACIÓN  </w:t>
            </w:r>
            <w:r>
              <w:rPr>
                <w:rFonts w:ascii="Calibri" w:hAnsi="Calibri"/>
                <w:b w:val="0"/>
                <w:i w:val="0"/>
                <w:color w:val="2D343C"/>
                <w:sz w:val="21"/>
              </w:rPr>
              <w:t>Meta clara + ejemplo completo + práctica guiada + respuesta + feedback + transferencia + QA visual/técnico + entrega verificable.</w:t>
            </w:r>
          </w:p>
        </w:tc>
      </w:tr>
    </w:tbl>
    <w:p>
      <w:pPr>
        <w:spacing w:after="40"/>
      </w:pPr>
    </w:p>
    <w:p>
      <w:r>
        <w:rPr>
          <w:b/>
        </w:rPr>
        <w:t>REGLA TRANSVERSAL: Todos los materiales visuales deberán representar diversidad étnico-racial (distintos tonos de piel, rasgos y procedencias) en protagonistas y grupos, evitando que la piel blanca sea el estándar y verificándolo en el control visual antes de entregar.</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p>
      <w:pPr>
        <w:pStyle w:val="Heading1"/>
      </w:pPr>
      <w:r>
        <w:t>ACTUALIZACIÓN OPERATIVA · OBJETIVO, TIEMPOS Y DISEÑO · 29-09-2026</w:t>
      </w:r>
    </w:p>
    <w:p>
      <w:pPr/>
      <w:r>
        <w:t>Esta actualización rige para todas las lecciones de la asignatura y prevalece sobre cualquier instrucción anterior incompatible, en especial las que indiquen una meta en la diapositiva 3, duración aproximada, un personaje único, subtítulos pequeños, paneles de fondo o entregas ZIP.</w:t>
      </w:r>
    </w:p>
    <w:p>
      <w:pPr/>
      <w:r>
        <w:t>Objetivo de la Lección: la primera diapositiva de la presentación explicativa declara, en una frase breve y comprensible, el objetivo específico de esa clase. Se combina con el puente narrativo, no añade una diapositiva, y se enuncia en las notas al orador.</w:t>
      </w:r>
    </w:p>
    <w:p>
      <w:pPr/>
      <w:r>
        <w:t>Duraciones exactas: Gancho = 60 segundos; presentación explicativa = 90 segundos. Las notas al orador contienen la voz en off completa. La duración se comprueba con el audio exportado; 130 palabras y 195 palabras son referencias de escritura a 130 palabras por minuto, no sustituyen la medición.</w:t>
      </w:r>
    </w:p>
    <w:p>
      <w:pPr/>
      <w:r>
        <w:t>Personajes: la joven y el joven aparecen juntos en todas las lecciones y presentaciones, participan en la acción y mantienen identidad visual. No se alternan como protagonistas únicos.</w:t>
      </w:r>
    </w:p>
    <w:p>
      <w:pPr/>
      <w:r>
        <w:t>Tipografía: títulos de 60–72 pt y datos breves de 44–54 pt. Subtítulos de Inglés, Lengua, Ciencias e Historia: 48 pt exactos. Matemática conserva su escala tipográfica propia y queda exenta del ajuste a 48 pt.</w:t>
      </w:r>
    </w:p>
    <w:p>
      <w:pPr/>
      <w:r>
        <w:t>Contraste: escoger el color del texto para cada escena. Se permiten colores vibrantes o neón si mantienen legibilidad y contraste; el subtítulo alcanza al menos 4,5:1. No usar recuadros, franjas, placas, fondos negros ni máscaras detrás del texto. Reubicarlo en espacio negativo y cambiar su color; una sombra muy suave solo si hace falta.</w:t>
      </w:r>
    </w:p>
    <w:p>
      <w:pPr/>
      <w:r>
        <w:t>Jerarquía: mantener título y subtítulo como un bloque, con 24–32 px de separación a 1920 × 1080. El subtítulo no se desplaza al tercio inferior ni queda mucho más abajo que el título.</w:t>
      </w:r>
    </w:p>
    <w:p>
      <w:pPr/>
      <w:r>
        <w:t>Overlays: usar únicamente texto breve, símbolos o notación matemática que expliquen la escena. Máximo 5–8 palabras visibles por diapositiva, salvo expresiones matemáticas o evidencia fuente imprescindible. Escribir las unidades con su nombre completo (por ejemplo, “metros”, no “m”), salvo que la abreviatura sea el contenido que se enseña. Sin párrafos ni desafío final en el video explicativo.</w:t>
      </w:r>
    </w:p>
    <w:p>
      <w:pPr/>
      <w:r>
        <w:t>Cierre: la explicación termina con una idea clave y una transición breve a la práctica posterior; no plantea un reto que el estudiante deba resolver en el video.</w:t>
      </w:r>
    </w:p>
    <w:p>
      <w:pPr/>
      <w:r>
        <w:t>Entrega: un solo PPTX por presentación, con una imagen 16:9 por diapositiva, overlays pertinentes y notas al orador completas. Las notas contienen únicamente voz narrable. No producir ZIP, GUION.txt, PNG sueltos ni archivos auxiliares.</w:t>
      </w:r>
    </w:p>
    <w:p>
      <w:pPr>
        <w:pStyle w:val="Heading1"/>
        <w:keepNext/>
        <w:pageBreakBefore/>
      </w:pPr>
      <w:r>
        <w:t>ADENDA OBLIGATORIA · TÍTULOS, SUBTÍTULOS E IMÁGENES COHERENTES · 29-09-2026</w:t>
      </w:r>
    </w:p>
    <w:p>
      <w:r>
        <w:t>Esta actualización se incorpora al plan vigente para evitar discrepancias entre la planificación, Antigravity, las diapositivas y la voz en off.</w:t>
      </w:r>
    </w:p>
    <w:p>
      <w:pPr>
        <w:pStyle w:val="Heading2"/>
        <w:keepNext/>
      </w:pPr>
      <w:r>
        <w:t>Aplicación y prioridad</w:t>
      </w:r>
    </w:p>
    <w:p>
      <w:pPr>
        <w:pStyle w:val="ListBullet"/>
        <w:spacing w:after="80"/>
      </w:pPr>
      <w:r>
        <w:t>Esta adenda es obligatoria para cada diapositiva de Gancho y Lección, sus prompts de imagen, el montaje del PPTX y sus notas al orador. Complementa este Plan Maestro y prevalece si una instrucción anterior o una salida de Antigravity la contradice o la deja ambigua. La persona que produce debe resolver autónomamente las decisiones rutinarias de diseño y detener la entrega si la coherencia didáctica no se puede demostrar.</w:t>
      </w:r>
    </w:p>
    <w:p>
      <w:pPr>
        <w:pStyle w:val="Heading2"/>
        <w:keepNext/>
      </w:pPr>
      <w:r>
        <w:t>Título y subtítulo obligatorios</w:t>
      </w:r>
    </w:p>
    <w:p>
      <w:pPr>
        <w:pStyle w:val="ListBullet"/>
        <w:spacing w:after="80"/>
      </w:pPr>
      <w:r>
        <w:t>Cada diapositiva lleva un título y un subtítulo visibles. El título nombra el concepto o momento que se enseña. El subtítulo expresa la idea concreta que la imagen y la explicación desarrollan. Ambos deben aportar información distinta, ser breves y mantener la jerarquía acordada: título de 60–72 pt; subtítulo de 48 pt exactos en Inglés, Lengua y Literatura, Ciencias e Historia. Matemática conserva la escala propia aprobada en su plan, sin reducir el subtítulo para hacerlo caber. Mantener ambos juntos, con 24–32 px de separación en un lienzo de 1920 × 1080. Si no caben, acortar el texto o recomponer la escena; no eliminar el subtítulo ni alejarlo del título.</w:t>
      </w:r>
    </w:p>
    <w:p>
      <w:pPr>
        <w:pStyle w:val="Heading2"/>
        <w:keepNext/>
      </w:pPr>
      <w:r>
        <w:t>Texto de un solo tono y contraste</w:t>
      </w:r>
    </w:p>
    <w:p>
      <w:pPr>
        <w:pStyle w:val="ListBullet"/>
        <w:spacing w:after="80"/>
      </w:pPr>
      <w:r>
        <w:t>Cada título y subtítulo se muestra en un color brillante, sólido y uniforme. No aplicar contorno de otro color, sombra, resplandor, degradado, doble tono ni caja de fondo. Elegir el color según el fondo real de esa diapositiva, no por alternancia automática. Evitar cian sobre azul y amarillo sobre zonas claras. Priorizar colores brillantes que contrasten claramente; si ninguno funciona, cambiar la ubicación o regenerar la imagen con espacio negativo útil. No tapar al protagonista ni la evidencia didáctica.</w:t>
      </w:r>
    </w:p>
    <w:p>
      <w:pPr>
        <w:pStyle w:val="Heading2"/>
        <w:keepNext/>
      </w:pPr>
      <w:r>
        <w:t>Coherencia entre imagen, título, subtítulo y notas</w:t>
      </w:r>
    </w:p>
    <w:p>
      <w:pPr>
        <w:pStyle w:val="ListBullet"/>
        <w:spacing w:after="80"/>
      </w:pPr>
      <w:r>
        <w:t>Antes de generar cada imagen, completar una ficha de diapositiva con: propósito didáctico, título, subtítulo, evidencia o acción que debe verse, prompt de imagen y foco de la nota al orador. Los cinco elementos deben comunicar la misma idea. La imagen no puede ser solo decorativa ni sugerir una interpretación distinta. La nota al orador puede ampliar lo visible, pero no debe corregir una imagen ambigua o equivocada. Si la escena no representa el título y el subtítulo de forma inmediata, se cambia la escena o se reformula el texto antes de montar el PPTX.</w:t>
      </w:r>
    </w:p>
    <w:p>
      <w:pPr>
        <w:pStyle w:val="Heading2"/>
        <w:keepNext/>
      </w:pPr>
      <w:r>
        <w:t>Diagramas exactos y ejemplos contextualizados</w:t>
      </w:r>
    </w:p>
    <w:p>
      <w:pPr>
        <w:pStyle w:val="ListBullet"/>
        <w:spacing w:after="80"/>
      </w:pPr>
      <w:r>
        <w:t>No confiar a una imagen generada la precisión de rectas, ejes, escalas, mapas, tablas, fórmulas, líneas de tiempo ni etiquetas que deban ser exactas. Construir esos elementos como diagramas editables y verificables en PowerPoint y usarlos sobre una escena que funcione como contexto. En Matemática, toda recta numérica debe mostrar el cero cuando sea relevante, valores con signo, intervalos iguales y dirección inequívoca. El cero es el punto de referencia matemático; un elemento del contexto solo representa cero si el guion declara explícitamente esa convención. La superficie del mar puede fijarse como nivel 0 m en un problema de profundidad, pero no sustituye por sí sola la recta numérica ni explica el cero.</w:t>
      </w:r>
    </w:p>
    <w:p>
      <w:pPr>
        <w:pStyle w:val="Heading2"/>
        <w:keepNext/>
      </w:pPr>
      <w:r>
        <w:t>Notas al orador</w:t>
      </w:r>
    </w:p>
    <w:p>
      <w:pPr>
        <w:pStyle w:val="ListBullet"/>
        <w:spacing w:after="80"/>
      </w:pPr>
      <w:r>
        <w:t>Las notas contienen la voz en off completa y explican con precisión lo que el estudiante ve. Deben nombrar la relación entre la evidencia, el título y el subtítulo sin introducir objetos o datos ausentes de la imagen. No describen instrucciones de producción ni dependen de texto pequeño que no se alcanzará a leer en el reproductor.</w:t>
      </w:r>
    </w:p>
    <w:p>
      <w:pPr>
        <w:pStyle w:val="Heading2"/>
        <w:keepNext/>
      </w:pPr>
      <w:r>
        <w:t>Control visual y puerta de aprobación</w:t>
      </w:r>
    </w:p>
    <w:p>
      <w:pPr>
        <w:pStyle w:val="ListBullet"/>
        <w:spacing w:after="80"/>
      </w:pPr>
      <w:r>
        <w:t>Revisar cada diapositiva a tamaño completo y como miniatura de aproximadamente 380 px de ancho. Confirmar que título y subtítulo se distinguen, son legibles y contrastan; que la imagen concuerda con ambos; y que las notas explican la misma idea. En Matemática, verificar de forma independiente cada valor, signo, unidad, escala, cero, marca y flecha del diagrama. Si una verificación falla, corregir la imagen, el texto o el diagrama y repetir la revisión del conjunto. No entregar una presentación con una diapositiva fallida.</w:t>
      </w:r>
    </w:p>
    <w:p>
      <w:pPr>
        <w:pStyle w:val="Heading2"/>
        <w:keepNext/>
      </w:pPr>
      <w:r>
        <w:t>Autonomía frente a prompts incompletos</w:t>
      </w:r>
    </w:p>
    <w:p>
      <w:pPr>
        <w:pStyle w:val="ListBullet"/>
        <w:spacing w:after="80"/>
      </w:pPr>
      <w:r>
        <w:t>Si Antigravity no define con claridad el subtítulo, el encuadre, la representación visual o la relación con la narración, aplicar estas reglas y el plan disciplinar vigente sin esperar una indicación adicional. Resolver la composición y el color con criterio profesional, pero no inventar hechos ni cambiar el objetivo curricular, la solución matemática o el contenido aprobado. Ante una contradicción curricular real, señalarla antes de producir; ante una decisión gráfica rutinaria, resolverla y continuar.</w:t>
      </w:r>
    </w:p>
    <w:p>
      <w:pPr>
        <w:pStyle w:val="Heading1"/>
        <w:keepNext/>
      </w:pPr>
      <w:r>
        <w:rPr>
          <w:color w:val="000000"/>
        </w:rPr>
        <w:t>ACTUALIZACIÓN OBLIGATORIA DEL 3 DE OCTUBRE DE 2026</w:t>
      </w:r>
    </w:p>
    <w:p>
      <w:pPr>
        <w:pStyle w:val="Heading2"/>
        <w:keepNext/>
      </w:pPr>
      <w:r>
        <w:rPr>
          <w:color w:val="000000"/>
        </w:rPr>
        <w:t>Coherencia curricular y trazabilidad de lecciones y presentaciones</w:t>
      </w:r>
    </w:p>
    <w:p>
      <w:pPr>
        <w:keepLines/>
        <w:spacing w:after="120"/>
      </w:pPr>
      <w:r>
        <w:t>Esta actualización establece una comprobación obligatoria desde el OA oficial hasta la lección completa y, luego, desde la lección aprobada hasta el PPTX. Se aplica junto con la secuencia didáctica de esta asignatura. La cantidad de clases y diapositivas se toma del plan vigente para cada OA.</w:t>
      </w:r>
    </w:p>
    <w:p>
      <w:pPr>
        <w:pStyle w:val="Heading2"/>
        <w:keepNext/>
      </w:pPr>
      <w:r>
        <w:rPr>
          <w:color w:val="000000"/>
        </w:rPr>
        <w:t>Fuentes y responsables de la revisión</w:t>
      </w:r>
    </w:p>
    <w:p>
      <w:pPr>
        <w:keepLines/>
        <w:spacing w:after="120"/>
      </w:pPr>
      <w:r>
        <w:t>El OA y el temario oficial delimitan los aprendizajes. Este Plan Maestro define cómo se enseñan en la asignatura. La versión final de la lección completa fija el contenido, los ejemplos, los datos y los ejercicios que puede representar la presentación. El prompt orienta la producción visual y debe derivarse de esa lección.</w:t>
      </w:r>
    </w:p>
    <w:p>
      <w:pPr>
        <w:pStyle w:val="ListBullet"/>
        <w:keepLines/>
        <w:spacing w:after="80"/>
      </w:pPr>
      <w:r>
        <w:t>El agente Auditor de Antigravity revisa el OA completo, el flujo de sus lecciones y los prompts asociados frente a este plan y las fuentes curriculares. Comprueba objetivos, progresión, continuidad, cobertura y coherencia de los prompts con la lección. Su revisión no incluye los PPTX finales.</w:t>
      </w:r>
    </w:p>
    <w:p>
      <w:pPr>
        <w:pStyle w:val="ListBullet"/>
        <w:keepLines/>
        <w:spacing w:after="80"/>
      </w:pPr>
      <w:r>
        <w:t>Antes de diseñar las diapositivas, Codex audita de forma independiente las lecciones que recibe frente a este Plan Maestro. La afirmación de que un documento fue alineado no reemplaza la comparación de sus contenidos. Si encuentra una brecha, informa la ubicación, la evidencia y la corrección requerida para que Antigravity actualice la fuente.</w:t>
      </w:r>
    </w:p>
    <w:p>
      <w:pPr>
        <w:pStyle w:val="ListBullet"/>
        <w:keepLines/>
        <w:spacing w:after="80"/>
      </w:pPr>
      <w:r>
        <w:t>Una vez validada la lección, Codex crea el PPTX y verifica cada diapositiva y sus notas al orador frente a la lección completa. Codex es responsable de la fidelidad del PPTX; Antigravity no genera ni audita las presentaciones finales.</w:t>
      </w:r>
    </w:p>
    <w:p>
      <w:pPr>
        <w:pStyle w:val="Heading2"/>
        <w:keepNext/>
      </w:pPr>
      <w:r>
        <w:rPr>
          <w:color w:val="000000"/>
        </w:rPr>
        <w:t>Auditoría del flujo de las lecciones</w:t>
      </w:r>
    </w:p>
    <w:p>
      <w:pPr>
        <w:pStyle w:val="ListBullet"/>
        <w:keepLines/>
        <w:spacing w:after="80"/>
      </w:pPr>
      <w:r>
        <w:t>Cada objetivo de lección debe corresponder al OA y coincidir con los conceptos enseñados, los ejemplos modelados y las actividades que permiten comprobar el aprendizaje.</w:t>
      </w:r>
    </w:p>
    <w:p>
      <w:pPr>
        <w:pStyle w:val="ListBullet"/>
        <w:keepLines/>
        <w:spacing w:after="80"/>
      </w:pPr>
      <w:r>
        <w:t>La secuencia respeta los conocimientos previos y desarrolla cada idea antes de exigir que el estudiante la use. Se revisan saltos conceptuales, contradicciones, omisiones, repeticiones innecesarias y contenidos fuera del objetivo.</w:t>
      </w:r>
    </w:p>
    <w:p>
      <w:pPr>
        <w:pStyle w:val="ListBullet"/>
        <w:keepLines/>
        <w:spacing w:after="80"/>
      </w:pPr>
      <w:r>
        <w:t>El recorrido completo del OA conserva una progresión adecuada al número de clases previsto en su plan. Cada clase aporta al aprendizaje del OA y mantiene las continuidades que el plan establece.</w:t>
      </w:r>
    </w:p>
    <w:p>
      <w:pPr>
        <w:pStyle w:val="ListBullet"/>
        <w:keepLines/>
        <w:spacing w:after="80"/>
      </w:pPr>
      <w:r>
        <w:t>El Gancho prepara la situación de aprendizaje y la Lección desarrolla el contenido correspondiente. La explicación debe modelar lo necesario para resolver las actividades posteriores.</w:t>
      </w:r>
    </w:p>
    <w:p>
      <w:pPr>
        <w:pStyle w:val="ListBullet"/>
        <w:keepLines/>
        <w:spacing w:after="80"/>
      </w:pPr>
      <w:r>
        <w:t>La revisión posterior al video, cuando exista, utiliza los mismos ejercicios de la lección completa, con los mismos datos, contexto e intencionalidad. No se incorporan ejercicios nuevos ni variantes inventadas.</w:t>
      </w:r>
    </w:p>
    <w:p>
      <w:pPr>
        <w:pStyle w:val="ListBullet"/>
        <w:keepLines/>
        <w:spacing w:after="80"/>
      </w:pPr>
      <w:r>
        <w:t>El cierre de la explicación enlaza con la práctica que ya ofrece la plataforma. No agrega un desafío independiente si la práctica viene a continuación.</w:t>
      </w:r>
    </w:p>
    <w:p>
      <w:pPr>
        <w:pStyle w:val="Heading2"/>
        <w:keepNext/>
      </w:pPr>
      <w:r>
        <w:rPr>
          <w:color w:val="000000"/>
        </w:rPr>
        <w:t>Fidelidad y trazabilidad del PPTX</w:t>
      </w:r>
    </w:p>
    <w:p>
      <w:pPr>
        <w:keepLines/>
        <w:spacing w:after="120"/>
      </w:pPr>
      <w:r>
        <w:t>Antes de generar imágenes, Codex completa una ficha interna por cada diapositiva prevista. Cada registro vincula número y tipo de lámina con la ubicación exacta en la clase, función didáctica, texto y datos visibles, acción visual, overlays editables, nota al orador y estados de revisión curricular, disciplinar, visual y técnica. La ficha no se entrega como archivo independiente.</w:t>
      </w:r>
    </w:p>
    <w:p>
      <w:pPr>
        <w:pStyle w:val="ListBullet"/>
      </w:pPr>
      <w:r>
        <w:t>El registro de fuentes de cada OA identifica el nombre y la versión o fecha del archivo vigente con la clase completa y sus prompts, este Plan Maestro disciplinar, el Plan Maestro para Presentaciones de Gancho y Explicación 7B, versión 1.4, actualizada el 2026-10-03 a las 15:38 · America/Santiago (UTC−03:00). y el recurso aprobado de marca. Si existen copias incompatibles o una contradicción en la clase, se detiene el PPTX afectado y se reportan archivo, ubicación, evidencia y resolución requerida.</w:t>
      </w:r>
    </w:p>
    <w:p>
      <w:pPr>
        <w:pStyle w:val="ListBullet"/>
        <w:keepLines/>
        <w:spacing w:after="80"/>
      </w:pPr>
      <w:r>
        <w:t>El objetivo, el título, el subtítulo, la imagen, los overlays y la nota al orador de cada lámina deben comunicar la misma idea y corresponder al momento didáctico de la lección.</w:t>
      </w:r>
    </w:p>
    <w:p>
      <w:pPr>
        <w:pStyle w:val="ListBullet"/>
        <w:keepLines/>
        <w:spacing w:after="80"/>
      </w:pPr>
      <w:r>
        <w:t>Se conservan el significado, los hechos, los ejemplos, los datos, los procedimientos y las respuestas de la lección. El texto visible puede abreviarse por legibilidad solo cuando mantiene íntegro el significado y no transforma la actividad.</w:t>
      </w:r>
    </w:p>
    <w:p>
      <w:pPr>
        <w:pStyle w:val="ListBullet"/>
        <w:keepLines/>
        <w:spacing w:after="80"/>
      </w:pPr>
      <w:r>
        <w:t>Si una diapositiva muestra o revisa un ejercicio de la lección, debe ser ese mismo ejercicio y conservar sus datos, contexto y respuesta. Cada contenido debe poder rastrearse a la lección aprobada.</w:t>
      </w:r>
    </w:p>
    <w:p>
      <w:pPr>
        <w:pStyle w:val="ListBullet"/>
        <w:keepLines/>
        <w:spacing w:after="80"/>
      </w:pPr>
      <w:r>
        <w:t>La primera diapositiva de Explicación presenta el objetivo de esa lección según la regla vigente. La secuencia y cantidad de láminas siguen el plan del OA y de la asignatura, sin imponer un número universal.</w:t>
      </w:r>
    </w:p>
    <w:p>
      <w:pPr>
        <w:pStyle w:val="ListBullet"/>
        <w:keepLines/>
        <w:spacing w:after="80"/>
      </w:pPr>
      <w:r>
        <w:t>Las notas al orador desarrollan lo que la diapositiva muestra y lo que la lección enseña. No agregan datos, ejemplos, preguntas o conclusiones que no estén sustentados por la fuente aprobada.</w:t>
      </w:r>
    </w:p>
    <w:p>
      <w:pPr>
        <w:pStyle w:val="Heading2"/>
        <w:keepNext/>
      </w:pPr>
      <w:r>
        <w:rPr>
          <w:color w:val="000000"/>
        </w:rPr>
        <w:t>Control disciplinar de esta asignatura</w:t>
      </w:r>
    </w:p>
    <w:p>
      <w:pPr>
        <w:keepLines/>
        <w:spacing w:after="120"/>
      </w:pPr>
      <w:r>
        <w:t>En Ciencias Naturales, comprobar que los fenómenos, observaciones, datos, unidades y conclusiones corresponden a lo enseñado; las imágenes y explicaciones no deben insinuar relaciones causales o científicas que la lección no sustenta.</w:t>
      </w:r>
    </w:p>
    <w:p>
      <w:pPr>
        <w:pStyle w:val="Heading2"/>
        <w:keepNext/>
      </w:pPr>
      <w:r>
        <w:rPr>
          <w:color w:val="000000"/>
        </w:rPr>
        <w:t>Hallazgos y criterio de aprobación</w:t>
      </w:r>
    </w:p>
    <w:p>
      <w:pPr>
        <w:pStyle w:val="ListBullet"/>
        <w:keepNext/>
        <w:keepLines/>
        <w:spacing w:after="80"/>
      </w:pPr>
      <w:r>
        <w:t>Cada hallazgo identifica el archivo y su versión, el OA y la clase o diapositiva afectada, la ubicación de la evidencia, la discrepancia y la corrección sugerida. El informe usa los estados Aprobado, Aprobado con observaciones, Requiere corrección o No evaluable por falta de fuentes.</w:t>
      </w:r>
    </w:p>
    <w:p>
      <w:pPr>
        <w:pStyle w:val="ListBullet"/>
        <w:keepNext/>
        <w:keepLines/>
        <w:spacing w:after="80"/>
      </w:pPr>
      <w:r>
        <w:t>Una contradicción con el OA, el objetivo, el procedimiento modelado, los datos o los ejercicios impide aprobar el material afectado. La fuente se corrige y se vuelve a revisar antes de producir su presentación.</w:t>
      </w:r>
    </w:p>
    <w:p>
      <w:pPr>
        <w:pStyle w:val="ListBullet"/>
        <w:keepNext/>
        <w:keepLines/>
        <w:spacing w:after="80"/>
      </w:pPr>
      <w:r>
        <w:t>Los hallazgos se asignan por causa y alcance. Las brechas de OA, secuencia, contenido, ejemplo, ejercicio o prompt se documentan con ubicación y evidencia y se devuelven a Antigravity para corregir la fuente y alimentar el agente auditor. Los defectos de composición, imágenes, tipografía, contraste, overlays, notas, montaje o render del PPTX son responsabilidad de Codex y se corrigen en su sistema de producción. Solo la causa comprobada en la fuente se remite a Antigravity; Antigravity no genera ni audita los PPTX finales. Cada caso registra su alcance universal, disciplinar o del OA y no se eleva a regla general sin evidencia suficiente y validación.</w:t>
      </w:r>
    </w:p>
    <w:p>
      <w:pPr>
        <w:pStyle w:val="ListBullet"/>
      </w:pPr>
      <w:r>
        <w:t>Antes de iniciar nuevos OA, comprobar los casos de regresión cuyo alcance aplique. Si falla un control, corregir el componente afectado según su responsable y repetir la comprobación antes de aprobar.</w:t>
      </w:r>
    </w:p>
    <w:p>
      <w:pPr>
        <w:pStyle w:val="ListBullet"/>
        <w:keepLines/>
        <w:spacing w:after="80"/>
      </w:pPr>
      <w:r>
        <w:t>La comprobación de trazabilidad no agrega archivos al entregable. Codex mantiene el formato establecido en este plan: un PPTX con imágenes, overlays y notas al orador.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EstudioSimple · 7° Básico · Documento operativo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A636E"/>
        <w:sz w:val="17"/>
      </w:rPr>
      <w:t>ESTUDIOSIMPLE · PLAN MAESTRO DISCIPLINAR</w:t>
    </w:r>
    <w:r>
      <w:rPr>
        <w:rFonts w:ascii="Calibri" w:hAnsi="Calibri"/>
        <w:b w:val="0"/>
        <w:i w:val="0"/>
        <w:color w:val="5A636E"/>
        <w:sz w:val="17"/>
      </w:rPr>
      <w:t xml:space="preserve">   |   CN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Plan_Maestro_EstudioSimple_Ciencias_Naturales_7B_v1.4_2026-10-03_1538_UTC-0300</dc:title>
  <dc:subject>Plan maestro disciplinar de EstudioSimple con flujo de producción audiovisual trazable.</dc:subject>
  <dc:creator>EstudioSimple</dc:creator>
  <cp:keywords/>
  <dc:description>Actualización 2026-10-03 15:38 (America/Santiago, UTC−03:00); registro horario de versión.</dc:description>
  <cp:lastModifiedBy/>
  <cp:revision>1</cp:revision>
  <dcterms:created xsi:type="dcterms:W3CDTF">2013-12-23T23:15:00Z</dcterms:created>
  <dcterms:modified xsi:type="dcterms:W3CDTF">2013-12-23T23:15:00Z</dcterms:modified>
  <cp:category/>
</cp:coreProperties>
</file>