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HIS</w:t>
      </w:r>
    </w:p>
    <w:p>
      <w:pPr>
        <w:spacing w:before="0" w:after="80" w:line="240" w:lineRule="auto"/>
      </w:pPr>
      <w:r>
        <w:rPr>
          <w:rFonts w:ascii="Calibri" w:hAnsi="Calibri"/>
          <w:b/>
          <w:i w:val="0"/>
          <w:color w:val="0B2545"/>
          <w:sz w:val="52"/>
        </w:rPr>
        <w:t>PLAN MAESTRO · HISTORIA, GEOGRAFÍA Y CIENCIAS SOCIALES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HIS.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HIS</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1.4 · 2026-10-03 15:38 UTC−03:00</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Historia, Geografía y Ciencias Sociales.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Historia y Ciencias Sociales deben enseñar a interpretar procesos y problemas a partir de fuentes, contexto, actores, temporalidad, espacio y relaciones causales. La Lección debe mostrar cómo se construye una explicación histórica o social, no solo entregar datos.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usar una fuente y un contexto para construir una explicación respaldada, distinguiendo evidencia de opinión?</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histórico o social debe mostrar una investigación breve. La fuente se presenta, se identifica, se contextualiza, se analiza y se utiliza para sostener una conclusión limitada y verificable.</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Identificar la fuente y su contexto.</w:t>
            </w:r>
          </w:p>
        </w:tc>
        <w:tc>
          <w:tcPr>
            <w:tcW w:type="dxa" w:w="4210"/>
            <w:shd w:fill="F7FAFC"/>
          </w:tcPr>
          <w:p>
            <w:pPr>
              <w:spacing w:before="0" w:after="0" w:line="276" w:lineRule="auto"/>
            </w:pPr>
            <w:r>
              <w:rPr>
                <w:rFonts w:ascii="Calibri" w:hAnsi="Calibri"/>
                <w:b w:val="0"/>
                <w:i w:val="0"/>
                <w:color w:val="2D343C"/>
                <w:sz w:val="18"/>
              </w:rPr>
              <w:t>Autor, fecha, tipo de fuente, lugar y propósito cuando estén disponibles.</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Extraer información relevante.</w:t>
            </w:r>
          </w:p>
        </w:tc>
        <w:tc>
          <w:tcPr>
            <w:tcW w:type="dxa" w:w="4210"/>
            <w:shd w:fill="FFFFFF"/>
          </w:tcPr>
          <w:p>
            <w:pPr>
              <w:spacing w:before="0" w:after="0" w:line="276" w:lineRule="auto"/>
            </w:pPr>
            <w:r>
              <w:rPr>
                <w:rFonts w:ascii="Calibri" w:hAnsi="Calibri"/>
                <w:b w:val="0"/>
                <w:i w:val="0"/>
                <w:color w:val="2D343C"/>
                <w:sz w:val="18"/>
              </w:rPr>
              <w:t>Se seleccionan datos o afirmaciones directamente útiles para la pregunta.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Relacionar actores, causas, consecuencias o territorio.</w:t>
            </w:r>
          </w:p>
        </w:tc>
        <w:tc>
          <w:tcPr>
            <w:tcW w:type="dxa" w:w="4210"/>
            <w:shd w:fill="F7FAFC"/>
          </w:tcPr>
          <w:p>
            <w:pPr>
              <w:spacing w:before="0" w:after="0" w:line="276" w:lineRule="auto"/>
            </w:pPr>
            <w:r>
              <w:rPr>
                <w:rFonts w:ascii="Calibri" w:hAnsi="Calibri"/>
                <w:b w:val="0"/>
                <w:i w:val="0"/>
                <w:color w:val="2D343C"/>
                <w:sz w:val="18"/>
              </w:rPr>
              <w:t>Se construye la relación con conectores y no con una lista aislada.</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Contrastar o evaluar límites.</w:t>
            </w:r>
          </w:p>
        </w:tc>
        <w:tc>
          <w:tcPr>
            <w:tcW w:type="dxa" w:w="4210"/>
            <w:shd w:fill="FFFFFF"/>
          </w:tcPr>
          <w:p>
            <w:pPr>
              <w:spacing w:before="0" w:after="0" w:line="276" w:lineRule="auto"/>
            </w:pPr>
            <w:r>
              <w:rPr>
                <w:rFonts w:ascii="Calibri" w:hAnsi="Calibri"/>
                <w:b w:val="0"/>
                <w:i w:val="0"/>
                <w:color w:val="2D343C"/>
                <w:sz w:val="18"/>
              </w:rPr>
              <w:t>Se explica qué permite saber la fuente y qué no permite concluir.</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Redactar una explicación argumentada.</w:t>
            </w:r>
          </w:p>
        </w:tc>
        <w:tc>
          <w:tcPr>
            <w:tcW w:type="dxa" w:w="4210"/>
            <w:shd w:fill="F7FAFC"/>
          </w:tcPr>
          <w:p>
            <w:pPr>
              <w:spacing w:before="0" w:after="0" w:line="276" w:lineRule="auto"/>
            </w:pPr>
            <w:r>
              <w:rPr>
                <w:rFonts w:ascii="Calibri" w:hAnsi="Calibri"/>
                <w:b w:val="0"/>
                <w:i w:val="0"/>
                <w:color w:val="2D343C"/>
                <w:sz w:val="18"/>
              </w:rPr>
              <w:t>Respuesta con afirmación, evidencia y razonamiento histórico/social.</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analiza una segunda fuente con una pauta visible: quién, cuándo, qué dice, qué evidencia aporta y qué conclusión permite.</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comparan una respuesta descriptiva y una respuesta explicativa para mostrar la diferencia.</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aplica el mismo procedimiento a otra fuente, mapa, gráfico o situación del periodo estudiado.</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Confundir memorizar fechas con explicar procesos.</w:t>
      </w:r>
    </w:p>
    <w:p>
      <w:pPr>
        <w:pStyle w:val="ListBullet"/>
        <w:spacing w:before="0" w:after="80" w:line="300" w:lineRule="auto"/>
      </w:pPr>
      <w:r>
        <w:rPr>
          <w:rFonts w:ascii="Calibri" w:hAnsi="Calibri"/>
          <w:b w:val="0"/>
          <w:i w:val="0"/>
          <w:color w:val="232A32"/>
          <w:sz w:val="21"/>
        </w:rPr>
        <w:t>Usar una fuente como si fuera una verdad absoluta sin analizar autoría y contexto.</w:t>
      </w:r>
    </w:p>
    <w:p>
      <w:pPr>
        <w:pStyle w:val="ListBullet"/>
        <w:spacing w:before="0" w:after="80" w:line="300" w:lineRule="auto"/>
      </w:pPr>
      <w:r>
        <w:rPr>
          <w:rFonts w:ascii="Calibri" w:hAnsi="Calibri"/>
          <w:b w:val="0"/>
          <w:i w:val="0"/>
          <w:color w:val="232A32"/>
          <w:sz w:val="21"/>
        </w:rPr>
        <w:t>Enumerar causas sin explicar relaciones.</w:t>
      </w:r>
    </w:p>
    <w:p>
      <w:pPr>
        <w:pStyle w:val="ListBullet"/>
        <w:spacing w:before="0" w:after="80" w:line="300" w:lineRule="auto"/>
      </w:pPr>
      <w:r>
        <w:rPr>
          <w:rFonts w:ascii="Calibri" w:hAnsi="Calibri"/>
          <w:b w:val="0"/>
          <w:i w:val="0"/>
          <w:color w:val="232A32"/>
          <w:sz w:val="21"/>
        </w:rPr>
        <w:t>Presentar opiniones actuales como evidencia histórica.</w:t>
      </w:r>
    </w:p>
    <w:p>
      <w:pPr>
        <w:pStyle w:val="ListBullet"/>
        <w:spacing w:before="0" w:after="80" w:line="300" w:lineRule="auto"/>
      </w:pPr>
      <w:r>
        <w:rPr>
          <w:rFonts w:ascii="Calibri" w:hAnsi="Calibri"/>
          <w:b w:val="0"/>
          <w:i w:val="0"/>
          <w:color w:val="232A32"/>
          <w:sz w:val="21"/>
        </w:rPr>
        <w:t>Pedir comparación sin entregar criterios comparables.</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ejemplo distingue dato, interpretación y conclusión.</w:t>
      </w:r>
    </w:p>
    <w:p>
      <w:pPr>
        <w:pStyle w:val="ListBullet"/>
        <w:spacing w:before="0" w:after="80" w:line="300" w:lineRule="auto"/>
      </w:pPr>
      <w:r>
        <w:rPr>
          <w:rFonts w:ascii="Calibri" w:hAnsi="Calibri"/>
          <w:b w:val="0"/>
          <w:i w:val="0"/>
          <w:color w:val="232A32"/>
          <w:sz w:val="21"/>
        </w:rPr>
        <w:t>La fuente se usa realmente, no solo se decora la diapositiva.</w:t>
      </w:r>
    </w:p>
    <w:p>
      <w:pPr>
        <w:pStyle w:val="ListBullet"/>
        <w:spacing w:before="0" w:after="80" w:line="300" w:lineRule="auto"/>
      </w:pPr>
      <w:r>
        <w:rPr>
          <w:rFonts w:ascii="Calibri" w:hAnsi="Calibri"/>
          <w:b w:val="0"/>
          <w:i w:val="0"/>
          <w:color w:val="232A32"/>
          <w:sz w:val="21"/>
        </w:rPr>
        <w:t>Las relaciones causales y temporales se explican.</w:t>
      </w:r>
    </w:p>
    <w:p>
      <w:pPr>
        <w:pStyle w:val="ListBullet"/>
        <w:spacing w:before="0" w:after="80" w:line="300" w:lineRule="auto"/>
      </w:pPr>
      <w:r>
        <w:rPr>
          <w:rFonts w:ascii="Calibri" w:hAnsi="Calibri"/>
          <w:b w:val="0"/>
          <w:i w:val="0"/>
          <w:color w:val="232A32"/>
          <w:sz w:val="21"/>
        </w:rPr>
        <w:t>La respuesta final incluye evidencia suficiente y límites razonables.</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generar imágenes, Codex completa una ficha interna por cada diapositiva prevista. Cada registro vincula número y tipo de lámina con la ubicación exacta en la clase, función didáctica, texto y datos visibles, acción visual, overlays editables, nota al orador y estados de revisión curricular, disciplinar, visual y técnica. La ficha no se entrega como archivo independiente.</w:t>
      </w:r>
    </w:p>
    <w:p>
      <w:pPr>
        <w:pStyle w:val="ListBullet"/>
      </w:pPr>
      <w:r>
        <w:t>El registro de fuentes de cada OA identifica el nombre y la versión o fecha del archivo vigente con la clase completa y sus prompts, este Plan Maestro disciplinar, el Plan Maestro para Presentaciones de Gancho y Explicación 7B, versión 1.4, actualizada el 2026-10-03 a las 15:38 · America/Santiago (UTC−03:00). y el recurso aprobado de marca. Si existen copias incompatibles o una contradicción en la clase, se detiene el PPTX afectado y se reportan archivo, ubicación, evidencia y resolución requerida.</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Historia, Geografía y Ciencias Sociales, comprobar fechas, periodos, lugares, actores, fuentes y relaciones temporales o causales; distinguir los hechos de las interpretaciones y sostener estas últimas con la evidencia trabajada.</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hallazgos se asignan por causa y alcance. Las brechas de OA, secuencia, contenido, ejemplo, ejercicio o prompt se documentan con ubicación y evidencia y se devuelven a Antigravity para corregir la fuente y alimentar el agente auditor. Los defectos de composición, imágenes, tipografía, contraste, overlays, notas, montaje o render del PPTX son responsabilidad de Codex y se corrigen en su sistema de producción. Solo la causa comprobada en la fuente se remite a Antigravity; Antigravity no genera ni audita los PPTX finales. Cada caso registra su alcance universal, disciplinar o del OA y no se eleva a regla general sin evidencia suficiente y validación.</w:t>
      </w:r>
    </w:p>
    <w:p>
      <w:pPr>
        <w:pStyle w:val="ListBullet"/>
      </w:pPr>
      <w:r>
        <w:t>Antes de iniciar nuevos OA, comprobar los casos de regresión cuyo alcance aplique. Si falla un control, corregir el componente afectado según su responsable y repetir la comprobación antes de aprobar.</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HIS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Plan_Maestro_EstudioSimple_Historia_Geografia_Ciencias_Sociales_7B_v1.4_2026-10-03_1538_UTC-0300</dc:title>
  <dc:subject>Plan maestro disciplinar de EstudioSimple con flujo de producción audiovisual trazable.</dc:subject>
  <dc:creator>EstudioSimple</dc:creator>
  <cp:keywords/>
  <dc:description>Actualización 2026-10-03 15:38 (America/Santiago, UTC−03:00); registro horario de versión.</dc:description>
  <cp:lastModifiedBy/>
  <cp:revision>1</cp:revision>
  <dcterms:created xsi:type="dcterms:W3CDTF">2013-12-23T23:15:00Z</dcterms:created>
  <dcterms:modified xsi:type="dcterms:W3CDTF">2013-12-23T23:15:00Z</dcterms:modified>
  <cp:category/>
</cp:coreProperties>
</file>