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line="300" w:lineRule="auto"/>
      </w:pPr>
      <w:r>
        <w:rPr>
          <w:rFonts w:ascii="Calibri" w:hAnsi="Calibri"/>
          <w:b/>
          <w:i w:val="0"/>
          <w:color w:val="C58A19"/>
          <w:sz w:val="22"/>
        </w:rPr>
        <w:t>ESTUDIOSIMPLE</w:t>
      </w:r>
    </w:p>
    <w:p>
      <w:pPr>
        <w:keepNext/>
        <w:spacing w:before="0" w:after="80" w:line="300" w:lineRule="auto"/>
      </w:pPr>
      <w:r>
        <w:rPr>
          <w:rFonts w:ascii="Calibri" w:hAnsi="Calibri"/>
          <w:b/>
          <w:i w:val="0"/>
          <w:color w:val="1F4D78"/>
          <w:sz w:val="50"/>
        </w:rPr>
        <w:t>Plan Maestro de Lengua y Literatura</w:t>
      </w:r>
    </w:p>
    <w:p>
      <w:pPr>
        <w:keepNext/>
        <w:spacing w:before="0" w:after="320" w:line="300" w:lineRule="auto"/>
      </w:pPr>
      <w:r>
        <w:rPr>
          <w:rFonts w:ascii="Calibri" w:hAnsi="Calibri"/>
          <w:b w:val="0"/>
          <w:i w:val="0"/>
          <w:color w:val="5B6777"/>
          <w:sz w:val="28"/>
        </w:rPr>
        <w:t>Ganchos y Lecciones · 7° Básico · Exámenes Libres</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DECISIÓN OPERATIVA  </w:t>
            </w:r>
            <w:r>
              <w:rPr>
                <w:rFonts w:ascii="Calibri" w:hAnsi="Calibri"/>
                <w:b w:val="0"/>
                <w:i w:val="0"/>
                <w:color w:val="1F2937"/>
                <w:sz w:val="21"/>
              </w:rPr>
              <w:t>Este documento es la autoridad disciplinar, didáctica, visual y técnica para producir, revisar y entregar Ganchos y Lecciones de Lengua y Literatura. Si una producción contradice este plan, se detiene y se corrige antes de continuar.</w:t>
            </w:r>
          </w:p>
        </w:tc>
      </w:tr>
    </w:tbl>
    <w:p>
      <w:pPr>
        <w:spacing w:after="40"/>
      </w:pPr>
    </w:p>
    <w:tbl>
      <w:tblPr>
        <w:tblStyle w:val="TableGrid"/>
        <w:tblW w:type="dxa" w:w="9360"/>
        <w:jc w:val="left"/>
        <w:tblLook w:firstColumn="1" w:firstRow="1" w:lastColumn="0" w:lastRow="0" w:noHBand="0" w:noVBand="1" w:val="04A0"/>
        <w:tblInd w:w="120" w:type="dxa"/>
      </w:tblPr>
      <w:tblGrid>
        <w:gridCol w:w="2000"/>
        <w:gridCol w:w="7360"/>
      </w:tblGrid>
      <w:tr>
        <w:tc>
          <w:tcPr>
            <w:tcW w:type="dxa" w:w="2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Campo</w:t>
            </w:r>
          </w:p>
        </w:tc>
        <w:tc>
          <w:tcPr>
            <w:tcW w:type="dxa" w:w="73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Definición</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Nivel</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7° Básico; estudiantes de 11 a 13 años.</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Fases</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narrativo → Lección explicativa → Juego o actividad posterior.</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Fuente curricular</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Temario oficial de Exámenes Libres, Bases Curriculares e indicadores pertinentes.</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Código de asignatura</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LYL</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Versión</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2.6 · 2026-10-03 15:38 UTC−03:00</w:t>
            </w:r>
          </w:p>
        </w:tc>
      </w:tr>
    </w:tbl>
    <w:p>
      <w:pPr>
        <w:spacing w:after="40"/>
      </w:pPr>
    </w:p>
    <w:p>
      <w:pPr>
        <w:keepNext/>
        <w:spacing w:before="120" w:after="80" w:line="300" w:lineRule="auto"/>
      </w:pPr>
      <w:r>
        <w:rPr>
          <w:rFonts w:ascii="Calibri" w:hAnsi="Calibri"/>
          <w:b/>
          <w:i w:val="0"/>
          <w:color w:val="1F4D78"/>
          <w:sz w:val="23"/>
        </w:rPr>
        <w:t>Propósito de esta versión</w:t>
      </w:r>
    </w:p>
    <w:p>
      <w:pPr>
        <w:keepNext w:val="0"/>
        <w:spacing w:before="0" w:after="160" w:line="300" w:lineRule="auto"/>
      </w:pPr>
      <w:r>
        <w:rPr>
          <w:rFonts w:ascii="Calibri" w:hAnsi="Calibri"/>
          <w:b w:val="0"/>
          <w:i w:val="0"/>
          <w:color w:val="1F2937"/>
          <w:sz w:val="21"/>
        </w:rPr>
        <w:t>Esta versión incorpora el Mapa Visual de Análisis Textual: el estudiante debe ver el texto que lee, la evidencia que se marca, la inferencia que se construye, el concepto que se identifica y la respuesta que se justifica. La Lección ya no puede limitarse a explicar el resultado del análisis.</w:t>
      </w:r>
    </w:p>
    <w:p>
      <w:pPr>
        <w:pStyle w:val="Heading1"/>
        <w:keepNext/>
      </w:pPr>
      <w:r>
        <w:rPr>
          <w:rFonts w:ascii="Calibri" w:hAnsi="Calibri"/>
          <w:b/>
          <w:i w:val="0"/>
          <w:color w:val="1F4D78"/>
          <w:sz w:val="32"/>
        </w:rPr>
        <w:t>1. Propósito y alcance</w:t>
      </w:r>
    </w:p>
    <w:p>
      <w:pPr>
        <w:keepNext w:val="0"/>
        <w:spacing w:before="0" w:after="120" w:line="300" w:lineRule="auto"/>
      </w:pPr>
      <w:r>
        <w:rPr>
          <w:rFonts w:ascii="Calibri" w:hAnsi="Calibri"/>
          <w:b w:val="0"/>
          <w:i w:val="0"/>
          <w:color w:val="1F2937"/>
          <w:sz w:val="21"/>
        </w:rPr>
        <w:t>Este plan define qué debe aprender el estudiante, cómo se modela el pensamiento disciplinar y qué evidencia mínima permite declarar una Lección terminada. La producción no se aprueba porque las diapositivas sean atractivas o porque el PPTX abra correctamente. Debe demostrar comprensión progresiva, lectura visible, práctica con apoyo, feedback explícito, transferencia y entrega verificable.</w:t>
      </w:r>
    </w:p>
    <w:p>
      <w:pPr>
        <w:pStyle w:val="ListBullet"/>
        <w:keepNext w:val="0"/>
        <w:spacing w:before="0" w:after="80" w:line="283" w:lineRule="auto"/>
      </w:pPr>
      <w:r>
        <w:rPr>
          <w:rFonts w:ascii="Calibri" w:hAnsi="Calibri"/>
          <w:b w:val="0"/>
          <w:i w:val="0"/>
          <w:color w:val="1F2937"/>
          <w:sz w:val="21"/>
        </w:rPr>
        <w:t>Trabajar exclusivamente con los OA presentes en el temario oficial y con los indicadores pertinentes.</w:t>
      </w:r>
    </w:p>
    <w:p>
      <w:pPr>
        <w:pStyle w:val="ListBullet"/>
        <w:keepNext w:val="0"/>
        <w:spacing w:before="0" w:after="80" w:line="283" w:lineRule="auto"/>
      </w:pPr>
      <w:r>
        <w:rPr>
          <w:rFonts w:ascii="Calibri" w:hAnsi="Calibri"/>
          <w:b w:val="0"/>
          <w:i w:val="0"/>
          <w:color w:val="1F2937"/>
          <w:sz w:val="21"/>
        </w:rPr>
        <w:t>Mantener continuidad con el Gancho: protagonista, pregunta, objeto, tensión o situación inicial.</w:t>
      </w:r>
    </w:p>
    <w:p>
      <w:pPr>
        <w:pStyle w:val="ListBullet"/>
        <w:keepNext w:val="0"/>
        <w:spacing w:before="0" w:after="80" w:line="283" w:lineRule="auto"/>
      </w:pPr>
      <w:r>
        <w:rPr>
          <w:rFonts w:ascii="Calibri" w:hAnsi="Calibri"/>
          <w:b w:val="0"/>
          <w:i w:val="0"/>
          <w:color w:val="1F2937"/>
          <w:sz w:val="21"/>
        </w:rPr>
        <w:t>Convertir cada concepto en una acción observable de lectura: localizar, marcar, relacionar, inferir, explicar o justificar.</w:t>
      </w:r>
    </w:p>
    <w:p>
      <w:pPr>
        <w:pStyle w:val="ListBullet"/>
        <w:keepNext w:val="0"/>
        <w:spacing w:before="0" w:after="80" w:line="283" w:lineRule="auto"/>
      </w:pPr>
      <w:r>
        <w:rPr>
          <w:rFonts w:ascii="Calibri" w:hAnsi="Calibri"/>
          <w:b w:val="0"/>
          <w:i w:val="0"/>
          <w:color w:val="1F2937"/>
          <w:sz w:val="21"/>
        </w:rPr>
        <w:t>No presentar conceptos como una lista decorativa. Si aparecen en pantalla, deben desarrollarse o declararse como parte de una secuencia posterior.</w:t>
      </w:r>
    </w:p>
    <w:p>
      <w:pPr>
        <w:pStyle w:val="Heading1"/>
        <w:keepNext/>
      </w:pPr>
      <w:r>
        <w:rPr>
          <w:rFonts w:ascii="Calibri" w:hAnsi="Calibri"/>
          <w:b/>
          <w:i w:val="0"/>
          <w:color w:val="1F4D78"/>
          <w:sz w:val="32"/>
        </w:rPr>
        <w:t>2. Principio didáctico central</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REGLA BLOQUEANTE  </w:t>
            </w:r>
            <w:r>
              <w:rPr>
                <w:rFonts w:ascii="Calibri" w:hAnsi="Calibri"/>
                <w:b w:val="0"/>
                <w:i w:val="0"/>
                <w:color w:val="1F2937"/>
                <w:sz w:val="21"/>
              </w:rPr>
              <w:t>Toda Lección debe incluir un ejemplo completamente desarrollado mediante un fragmento visible y legible. El estudiante debe poder responder qué leyó, qué marcó, qué infirió, qué concepto identificó, cómo redactó la respuesta y por qué esa respuesta es válida.</w:t>
            </w:r>
          </w:p>
        </w:tc>
      </w:tr>
    </w:tbl>
    <w:p>
      <w:pPr>
        <w:spacing w:after="40"/>
      </w:pPr>
    </w:p>
    <w:p>
      <w:pPr>
        <w:keepNext w:val="0"/>
        <w:spacing w:before="0" w:after="120" w:line="300" w:lineRule="auto"/>
      </w:pPr>
      <w:r>
        <w:rPr>
          <w:rFonts w:ascii="Calibri" w:hAnsi="Calibri"/>
          <w:b w:val="0"/>
          <w:i w:val="0"/>
          <w:color w:val="1F2937"/>
          <w:sz w:val="21"/>
        </w:rPr>
        <w:t>La enseñanza debe mostrar el camino del lector, no solo la conclusión del lector. Una explicación abstracta como “busca evidencia” es insuficiente si no se muestra la evidencia dentro del texto.</w:t>
      </w:r>
    </w:p>
    <w:p>
      <w:pPr>
        <w:pStyle w:val="Heading1"/>
        <w:keepNext/>
      </w:pPr>
      <w:r>
        <w:rPr>
          <w:rFonts w:ascii="Calibri" w:hAnsi="Calibri"/>
          <w:b/>
          <w:i w:val="0"/>
          <w:color w:val="1F4D78"/>
          <w:sz w:val="32"/>
        </w:rPr>
        <w:t>3. Mapa Visual de Análisis Textual</w:t>
      </w:r>
    </w:p>
    <w:p>
      <w:pPr>
        <w:keepNext w:val="0"/>
        <w:spacing w:before="0" w:after="120" w:line="300" w:lineRule="auto"/>
      </w:pPr>
      <w:r>
        <w:rPr>
          <w:rFonts w:ascii="Calibri" w:hAnsi="Calibri"/>
          <w:b w:val="0"/>
          <w:i w:val="0"/>
          <w:color w:val="1F2937"/>
          <w:sz w:val="21"/>
        </w:rPr>
        <w:t>El Mapa Visual de Análisis Textual es un recurso obligatorio en toda Lección de Lengua. Debe aparecer mediante un fragmento breve, no como una lista aislada. El mismo fragmento se reutiliza progresivamente para hacer visible el razonamiento.</w:t>
      </w:r>
    </w:p>
    <w:tbl>
      <w:tblPr>
        <w:tblStyle w:val="TableGrid"/>
        <w:tblW w:type="dxa" w:w="9360"/>
        <w:jc w:val="left"/>
        <w:tblLook w:firstColumn="1" w:firstRow="1" w:lastColumn="0" w:lastRow="0" w:noHBand="0" w:noVBand="1" w:val="04A0"/>
        <w:tblInd w:w="120" w:type="dxa"/>
      </w:tblPr>
      <w:tblGrid>
        <w:gridCol w:w="1450"/>
        <w:gridCol w:w="2200"/>
        <w:gridCol w:w="3000"/>
        <w:gridCol w:w="2710"/>
      </w:tblGrid>
      <w:tr>
        <w:tc>
          <w:tcPr>
            <w:tcW w:type="dxa" w:w="145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Capa</w:t>
            </w:r>
          </w:p>
        </w:tc>
        <w:tc>
          <w:tcPr>
            <w:tcW w:type="dxa" w:w="22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Acción del estudiante</w:t>
            </w:r>
          </w:p>
        </w:tc>
        <w:tc>
          <w:tcPr>
            <w:tcW w:type="dxa" w:w="3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Recurso visible</w:t>
            </w:r>
          </w:p>
        </w:tc>
        <w:tc>
          <w:tcPr>
            <w:tcW w:type="dxa" w:w="271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Pregunta guía</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 Texto fuente</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Lee y delimita la situación.</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breve en una página o superficie de lectura.</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ocurre?</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2. Evidencia</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Localiza información literal.</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Subrayado o marca sobre palabras y frases del fragmento.</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dice el texto?</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 Inferencia</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Explica qué significa la evidencia.</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Flecha o conexión entre la pista y una interpretación.</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puedo concluir?</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 Concepto</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Relaciona la interpretación con la herramienta disciplinar.</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Etiqueta breve: conflicto, personaje, acción, narrador o tiempo.</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concepto revela?</w:t>
            </w:r>
          </w:p>
        </w:tc>
      </w:tr>
      <w:tr>
        <w:trPr>
          <w:cantSplit/>
        </w:trPr>
        <w:tc>
          <w:tcPr>
            <w:tcW w:type="dxa" w:w="1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5. Respuesta</w:t>
            </w:r>
          </w:p>
        </w:tc>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Redacta una respuesta completa.</w:t>
            </w:r>
          </w:p>
        </w:tc>
        <w:tc>
          <w:tcPr>
            <w:tcW w:type="dxa" w:w="3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Modelo con afirmación, evidencia y explicación.</w:t>
            </w:r>
          </w:p>
        </w:tc>
        <w:tc>
          <w:tcPr>
            <w:tcW w:type="dxa" w:w="271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¿Cómo lo justifico?</w:t>
            </w:r>
          </w:p>
        </w:tc>
      </w:tr>
      <w:tr>
        <w:trPr>
          <w:cantSplit/>
        </w:trPr>
        <w:tc>
          <w:tcPr>
            <w:tcW w:type="dxa" w:w="1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 Verificación</w:t>
            </w:r>
          </w:p>
        </w:tc>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Revisa la calidad de la respuesta.</w:t>
            </w:r>
          </w:p>
        </w:tc>
        <w:tc>
          <w:tcPr>
            <w:tcW w:type="dxa" w:w="3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Lista breve de criterios o comparación antes/después.</w:t>
            </w:r>
          </w:p>
        </w:tc>
        <w:tc>
          <w:tcPr>
            <w:tcW w:type="dxa" w:w="271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¿Mi respuesta responde y se apoya en el texto?</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CRITERIO VISUAL  </w:t>
            </w:r>
            <w:r>
              <w:rPr>
                <w:rFonts w:ascii="Calibri" w:hAnsi="Calibri"/>
                <w:b w:val="0"/>
                <w:i w:val="0"/>
                <w:color w:val="1F2937"/>
                <w:sz w:val="21"/>
              </w:rPr>
              <w:t>El personaje puede aparecer leyendo, pero la página o fragmento debe ser legible para el estudiante. La imagen no debe simular texto ilegible generado dentro del fondo: el texto didáctico se compone como texto nítido y controlable.</w:t>
            </w:r>
          </w:p>
        </w:tc>
      </w:tr>
    </w:tbl>
    <w:p>
      <w:pPr>
        <w:spacing w:after="40"/>
      </w:pPr>
    </w:p>
    <w:p>
      <w:pPr>
        <w:pStyle w:val="Heading1"/>
        <w:keepNext/>
      </w:pPr>
      <w:r>
        <w:rPr>
          <w:rFonts w:ascii="Calibri" w:hAnsi="Calibri"/>
          <w:b/>
          <w:i w:val="0"/>
          <w:color w:val="1F4D78"/>
          <w:sz w:val="32"/>
        </w:rPr>
        <w:t>4. Secuencia universal de comprensión</w:t>
      </w:r>
    </w:p>
    <w:p>
      <w:pPr>
        <w:pStyle w:val="ListNumber"/>
        <w:keepNext w:val="0"/>
        <w:numPr>
          <w:ilvl w:val="0"/>
          <w:numId w:val="10"/>
        </w:numPr>
        <w:spacing w:before="0" w:after="80" w:line="283" w:lineRule="auto"/>
      </w:pPr>
      <w:r>
        <w:rPr>
          <w:rFonts w:ascii="Calibri" w:hAnsi="Calibri"/>
          <w:b w:val="0"/>
          <w:i w:val="0"/>
          <w:color w:val="1F2937"/>
          <w:sz w:val="21"/>
        </w:rPr>
        <w:t>Activar el desafío del Gancho y recuperar su pregunta detonante.</w:t>
      </w:r>
    </w:p>
    <w:p>
      <w:pPr>
        <w:pStyle w:val="ListNumber"/>
        <w:keepNext w:val="0"/>
        <w:numPr>
          <w:ilvl w:val="0"/>
          <w:numId w:val="10"/>
        </w:numPr>
        <w:spacing w:before="0" w:after="80" w:line="283" w:lineRule="auto"/>
      </w:pPr>
      <w:r>
        <w:rPr>
          <w:rFonts w:ascii="Calibri" w:hAnsi="Calibri"/>
          <w:b w:val="0"/>
          <w:i w:val="0"/>
          <w:color w:val="1F2937"/>
          <w:sz w:val="21"/>
        </w:rPr>
        <w:t>Declarar con claridad qué aprenderá el estudiante: “Con este objetivo aprenderás a…”</w:t>
      </w:r>
    </w:p>
    <w:p>
      <w:pPr>
        <w:pStyle w:val="ListNumber"/>
        <w:keepNext w:val="0"/>
        <w:numPr>
          <w:ilvl w:val="0"/>
          <w:numId w:val="10"/>
        </w:numPr>
        <w:spacing w:before="0" w:after="80" w:line="283" w:lineRule="auto"/>
      </w:pPr>
      <w:r>
        <w:rPr>
          <w:rFonts w:ascii="Calibri" w:hAnsi="Calibri"/>
          <w:b w:val="0"/>
          <w:i w:val="0"/>
          <w:color w:val="1F2937"/>
          <w:sz w:val="21"/>
        </w:rPr>
        <w:t>Presentar el mapa de análisis y la herramienta disciplinar concreta.</w:t>
      </w:r>
    </w:p>
    <w:p>
      <w:pPr>
        <w:pStyle w:val="ListNumber"/>
        <w:keepNext w:val="0"/>
        <w:numPr>
          <w:ilvl w:val="0"/>
          <w:numId w:val="10"/>
        </w:numPr>
        <w:spacing w:before="0" w:after="80" w:line="283" w:lineRule="auto"/>
      </w:pPr>
      <w:r>
        <w:rPr>
          <w:rFonts w:ascii="Calibri" w:hAnsi="Calibri"/>
          <w:b w:val="0"/>
          <w:i w:val="0"/>
          <w:color w:val="1F2937"/>
          <w:sz w:val="21"/>
        </w:rPr>
        <w:t>Modelar un fragmento completo: leer → marcar → inferir → relacionar → responder → verificar.</w:t>
      </w:r>
    </w:p>
    <w:p>
      <w:pPr>
        <w:pStyle w:val="ListNumber"/>
        <w:keepNext w:val="0"/>
        <w:numPr>
          <w:ilvl w:val="0"/>
          <w:numId w:val="10"/>
        </w:numPr>
        <w:spacing w:before="0" w:after="80" w:line="283" w:lineRule="auto"/>
      </w:pPr>
      <w:r>
        <w:rPr>
          <w:rFonts w:ascii="Calibri" w:hAnsi="Calibri"/>
          <w:b w:val="0"/>
          <w:i w:val="0"/>
          <w:color w:val="1F2937"/>
          <w:sz w:val="21"/>
        </w:rPr>
        <w:t>Resolver un segundo fragmento de manera guiada, dejando decisiones parciales al estudiante.</w:t>
      </w:r>
    </w:p>
    <w:p>
      <w:pPr>
        <w:pStyle w:val="ListNumber"/>
        <w:keepNext w:val="0"/>
        <w:numPr>
          <w:ilvl w:val="0"/>
          <w:numId w:val="10"/>
        </w:numPr>
        <w:spacing w:before="0" w:after="80" w:line="283" w:lineRule="auto"/>
      </w:pPr>
      <w:r>
        <w:rPr>
          <w:rFonts w:ascii="Calibri" w:hAnsi="Calibri"/>
          <w:b w:val="0"/>
          <w:i w:val="0"/>
          <w:color w:val="1F2937"/>
          <w:sz w:val="21"/>
        </w:rPr>
        <w:t>Mostrar una respuesta posible, explicar el feedback y mejorar una respuesta insuficiente cuando corresponda.</w:t>
      </w:r>
    </w:p>
    <w:p>
      <w:pPr>
        <w:pStyle w:val="ListNumber"/>
        <w:keepNext w:val="0"/>
        <w:numPr>
          <w:ilvl w:val="0"/>
          <w:numId w:val="10"/>
        </w:numPr>
        <w:spacing w:before="0" w:after="80" w:line="283" w:lineRule="auto"/>
      </w:pPr>
      <w:r>
        <w:rPr>
          <w:rFonts w:ascii="Calibri" w:hAnsi="Calibri"/>
          <w:b w:val="0"/>
          <w:i w:val="0"/>
          <w:color w:val="1F2937"/>
          <w:sz w:val="21"/>
        </w:rPr>
        <w:t>Transferir la estrategia a un caso nuevo o volver al Gancho con una pregunta de aplicación.</w:t>
      </w:r>
    </w:p>
    <w:p>
      <w:pPr>
        <w:pStyle w:val="ListNumber"/>
        <w:keepNext w:val="0"/>
        <w:numPr>
          <w:ilvl w:val="0"/>
          <w:numId w:val="10"/>
        </w:numPr>
        <w:spacing w:before="0" w:after="80" w:line="283" w:lineRule="auto"/>
      </w:pPr>
      <w:r>
        <w:rPr>
          <w:rFonts w:ascii="Calibri" w:hAnsi="Calibri"/>
          <w:b w:val="0"/>
          <w:i w:val="0"/>
          <w:color w:val="1F2937"/>
          <w:sz w:val="21"/>
        </w:rPr>
        <w:t>Cerrar con síntesis y puente explícito al Juego o actividad posterior.</w:t>
      </w:r>
    </w:p>
    <w:p>
      <w:pPr>
        <w:pStyle w:val="Heading1"/>
        <w:keepNext/>
      </w:pPr>
      <w:r>
        <w:rPr>
          <w:rFonts w:ascii="Calibri" w:hAnsi="Calibri"/>
          <w:b/>
          <w:i w:val="0"/>
          <w:color w:val="1F4D78"/>
          <w:sz w:val="32"/>
        </w:rPr>
        <w:t>5. Arquitectura estándar de la Lección</w:t>
      </w:r>
    </w:p>
    <w:tbl>
      <w:tblPr>
        <w:tblStyle w:val="TableGrid"/>
        <w:tblW w:type="dxa" w:w="9360"/>
        <w:jc w:val="left"/>
        <w:tblLook w:firstColumn="1" w:firstRow="1" w:lastColumn="0" w:lastRow="0" w:noHBand="0" w:noVBand="1" w:val="04A0"/>
        <w:tblInd w:w="120" w:type="dxa"/>
      </w:tblPr>
      <w:tblGrid>
        <w:gridCol w:w="950"/>
        <w:gridCol w:w="1600"/>
        <w:gridCol w:w="4450"/>
        <w:gridCol w:w="2360"/>
      </w:tblGrid>
      <w:tr>
        <w:tc>
          <w:tcPr>
            <w:tcW w:type="dxa" w:w="95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Slides</w:t>
            </w:r>
          </w:p>
        </w:tc>
        <w:tc>
          <w:tcPr>
            <w:tcW w:type="dxa" w:w="16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Momento</w:t>
            </w:r>
          </w:p>
        </w:tc>
        <w:tc>
          <w:tcPr>
            <w:tcW w:type="dxa" w:w="445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Función obligatoria</w:t>
            </w:r>
          </w:p>
        </w:tc>
        <w:tc>
          <w:tcPr>
            <w:tcW w:type="dxa" w:w="23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Puerta de aprobación</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1–2</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Puente + objetivo</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Recuperar el Gancho y declarar el objetivo específico en la diapositiva 1.</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El objetivo es breve, correcto y se narra en las notas.</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Activación previa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Activar una idea necesaria para comprender el modelado; no repetir la meta.</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La explicación avanza desde el objetivo ya declarado.</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4–5</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Mapa y herramienta</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Presentar las preguntas de análisis y el concepto focal.</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 es una lista; orienta una acción.</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fuente</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el fragmento y delimitar la pregunta.</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texto es legible y suficiente.</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7–11</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Modelado completo</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evidencia, inferencia, concepto, respuesta y verificación.</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camino queda visible y justificado.</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12–13</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Aplicación modelada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Mostrar un segundo ejemplo resuelto; no pedir al estudiante que complete un desafío.</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El razonamiento queda narrado en las notas.</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14</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y feedback</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Mostrar respuesta, criterio y mejora.</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Se explica por qué es correcta o cómo mejorarla.</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15</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Transferencia modelada</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Mostrar un caso nuevo ya resuelto por los protagonistas.</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La aplicación se explica; la práctica del estudiante viene después.</w:t>
            </w:r>
          </w:p>
        </w:tc>
      </w:tr>
      <w:tr>
        <w:trPr>
          <w:cantSplit/>
        </w:trPr>
        <w:tc>
          <w:tcPr>
            <w:tcW w:type="dxa" w:w="9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16</w:t>
            </w:r>
          </w:p>
        </w:tc>
        <w:tc>
          <w:tcPr>
            <w:tcW w:type="dxa" w:w="1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Error frecuente</w:t>
            </w:r>
          </w:p>
        </w:tc>
        <w:tc>
          <w:tcPr>
            <w:tcW w:type="dxa" w:w="445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Distinguir respuesta válida de error típico.</w:t>
            </w:r>
          </w:p>
        </w:tc>
        <w:tc>
          <w:tcPr>
            <w:tcW w:type="dxa" w:w="2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error se explica, no solo se etiqueta.</w:t>
            </w:r>
          </w:p>
        </w:tc>
      </w:tr>
      <w:tr>
        <w:trPr>
          <w:cantSplit/>
        </w:trPr>
        <w:tc>
          <w:tcPr>
            <w:tcW w:type="dxa" w:w="9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17</w:t>
            </w:r>
          </w:p>
        </w:tc>
        <w:tc>
          <w:tcPr>
            <w:tcW w:type="dxa" w:w="1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Síntesis y puente</w:t>
            </w:r>
          </w:p>
        </w:tc>
        <w:tc>
          <w:tcPr>
            <w:tcW w:type="dxa" w:w="445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Cerrar con la idea clave y una transición breve a la práctica posterior.</w:t>
            </w:r>
          </w:p>
        </w:tc>
        <w:tc>
          <w:tcPr>
            <w:tcW w:type="dxa" w:w="2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No terminar con una pregunta o desafío.</w:t>
            </w:r>
          </w:p>
        </w:tc>
      </w:tr>
    </w:tbl>
    <w:p>
      <w:pPr>
        <w:spacing w:after="40"/>
      </w:pPr>
    </w:p>
    <w:p>
      <w:pPr>
        <w:pStyle w:val="Heading1"/>
        <w:keepNext/>
      </w:pPr>
      <w:r>
        <w:rPr>
          <w:rFonts w:ascii="Calibri" w:hAnsi="Calibri"/>
          <w:b/>
          <w:i w:val="0"/>
          <w:color w:val="1F4D78"/>
          <w:sz w:val="32"/>
        </w:rPr>
        <w:t>6. Arquitectura disciplinar del ejemplo completo</w:t>
      </w:r>
    </w:p>
    <w:p>
      <w:pPr>
        <w:keepNext w:val="0"/>
        <w:spacing w:before="0" w:after="120" w:line="300" w:lineRule="auto"/>
      </w:pPr>
      <w:r>
        <w:rPr>
          <w:rFonts w:ascii="Calibri" w:hAnsi="Calibri"/>
          <w:b w:val="0"/>
          <w:i w:val="0"/>
          <w:color w:val="1F2937"/>
          <w:sz w:val="21"/>
        </w:rPr>
        <w:t>El ejemplo de Lengua es una lectura modelada. No necesita pasos numéricos, pero sí decisiones visibles y verificables.</w:t>
      </w:r>
    </w:p>
    <w:tbl>
      <w:tblPr>
        <w:tblStyle w:val="TableGrid"/>
        <w:tblW w:type="dxa" w:w="9360"/>
        <w:jc w:val="left"/>
        <w:tblLook w:firstColumn="1" w:firstRow="1" w:lastColumn="0" w:lastRow="0" w:noHBand="0" w:noVBand="1" w:val="04A0"/>
        <w:tblInd w:w="120" w:type="dxa"/>
      </w:tblPr>
      <w:tblGrid>
        <w:gridCol w:w="1200"/>
        <w:gridCol w:w="3600"/>
        <w:gridCol w:w="4560"/>
      </w:tblGrid>
      <w:tr>
        <w:tc>
          <w:tcPr>
            <w:tcW w:type="dxa" w:w="12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Paso</w:t>
            </w:r>
          </w:p>
        </w:tc>
        <w:tc>
          <w:tcPr>
            <w:tcW w:type="dxa" w:w="36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hacer el estudiante</w:t>
            </w:r>
          </w:p>
        </w:tc>
        <w:tc>
          <w:tcPr>
            <w:tcW w:type="dxa" w:w="45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mostrar la Lección</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 Leer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Comprender la situación y delimitar la pregunta.</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breve, pregunta precisa y propósito de lectura.</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2. Localizar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Encontrar palabras, acciones o relaciones relevantes.</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Subrayado o marca sobre la evidencia literal.</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3. Inferir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Explicar qué significa la evidencia y qué no permite afirmar.</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Flecha o conexión entre evidencia e interpretación.</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4. Relacionar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Conectar la evidencia con un concepto narrativo.</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 visible y explicación de la relación.</w:t>
            </w:r>
          </w:p>
        </w:tc>
      </w:tr>
      <w:tr>
        <w:trPr>
          <w:cantSplit/>
        </w:trPr>
        <w:tc>
          <w:tcPr>
            <w:tcW w:type="dxa" w:w="1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5. Responder</w:t>
            </w:r>
          </w:p>
        </w:tc>
        <w:tc>
          <w:tcPr>
            <w:tcW w:type="dxa" w:w="36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Redactar una afirmación completa.</w:t>
            </w:r>
          </w:p>
        </w:tc>
        <w:tc>
          <w:tcPr>
            <w:tcW w:type="dxa" w:w="45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Modelo con afirmación, evidencia y explicación.</w:t>
            </w:r>
          </w:p>
        </w:tc>
      </w:tr>
      <w:tr>
        <w:trPr>
          <w:cantSplit/>
        </w:trPr>
        <w:tc>
          <w:tcPr>
            <w:tcW w:type="dxa" w:w="1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6. Revisar</w:t>
            </w:r>
          </w:p>
        </w:tc>
        <w:tc>
          <w:tcPr>
            <w:tcW w:type="dxa" w:w="36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Comprobar calidad y pertinencia.</w:t>
            </w:r>
          </w:p>
        </w:tc>
        <w:tc>
          <w:tcPr>
            <w:tcW w:type="dxa" w:w="45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Criterios de verificación y error que se evita.</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COHERENCIA DEL FRAGMENTO  </w:t>
            </w:r>
            <w:r>
              <w:rPr>
                <w:rFonts w:ascii="Calibri" w:hAnsi="Calibri"/>
                <w:b w:val="0"/>
                <w:i w:val="0"/>
                <w:color w:val="1F2937"/>
                <w:sz w:val="21"/>
              </w:rPr>
              <w:t>Todos los datos necesarios para resolver el ejemplo deben estar escritos. No se puede exigir una inferencia que dependa de una información que la Lección nunca presentó.</w:t>
            </w:r>
          </w:p>
        </w:tc>
      </w:tr>
    </w:tbl>
    <w:p>
      <w:pPr>
        <w:spacing w:after="40"/>
      </w:pPr>
    </w:p>
    <w:p>
      <w:pPr>
        <w:pStyle w:val="Heading1"/>
        <w:keepNext/>
      </w:pPr>
      <w:r>
        <w:rPr>
          <w:rFonts w:ascii="Calibri" w:hAnsi="Calibri"/>
          <w:b/>
          <w:i w:val="0"/>
          <w:color w:val="1F4D78"/>
          <w:sz w:val="32"/>
        </w:rPr>
        <w:t>7. Conceptos narrativos y alcance del OA</w:t>
      </w:r>
    </w:p>
    <w:p>
      <w:pPr>
        <w:keepNext w:val="0"/>
        <w:spacing w:before="0" w:after="120" w:line="300" w:lineRule="auto"/>
      </w:pPr>
      <w:r>
        <w:rPr>
          <w:rFonts w:ascii="Calibri" w:hAnsi="Calibri"/>
          <w:b w:val="0"/>
          <w:i w:val="0"/>
          <w:color w:val="1F2937"/>
          <w:sz w:val="21"/>
        </w:rPr>
        <w:t>Cuando el OA incluya varios conceptos —personajes, acciones, conflicto, narrador y tiempo— se debe distinguir entre mapa general y desarrollo profundo. El mapa puede orientar; no puede reemplazar la enseñanza.</w:t>
      </w:r>
    </w:p>
    <w:tbl>
      <w:tblPr>
        <w:tblStyle w:val="TableGrid"/>
        <w:tblW w:type="dxa" w:w="9360"/>
        <w:jc w:val="left"/>
        <w:tblLook w:firstColumn="1" w:firstRow="1" w:lastColumn="0" w:lastRow="0" w:noHBand="0" w:noVBand="1" w:val="04A0"/>
        <w:tblInd w:w="120" w:type="dxa"/>
      </w:tblPr>
      <w:tblGrid>
        <w:gridCol w:w="2400"/>
        <w:gridCol w:w="6960"/>
      </w:tblGrid>
      <w:tr>
        <w:tc>
          <w:tcPr>
            <w:tcW w:type="dxa" w:w="24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Tratamiento</w:t>
            </w:r>
          </w:p>
        </w:tc>
        <w:tc>
          <w:tcPr>
            <w:tcW w:type="dxa" w:w="69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Regla</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Mapa general</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Puede mostrar los conceptos y sus preguntas guía para orientar la lectura.</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Debe tener fragmento, evidencia marcada, inferencia, respuesta y feedback.</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mencionado</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Si no se desarrolla en esa Lección, debe declararse como contenido de una secuencia posterior.</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Cierre del OA</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El OA solo se declara cerrado cuando el estudiante puede aplicar la herramienta con otro fragmento.</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pPr>
              <w:keepNext w:val="0"/>
              <w:spacing w:before="40" w:after="40" w:line="276" w:lineRule="auto"/>
            </w:pPr>
            <w:r>
              <w:rPr>
                <w:rFonts w:ascii="Calibri" w:hAnsi="Calibri"/>
                <w:b/>
                <w:i w:val="0"/>
                <w:color w:val="1F4D78"/>
                <w:sz w:val="21"/>
              </w:rPr>
              <w:t xml:space="preserve">PREGUNTA DE CONTROL  </w:t>
            </w:r>
            <w:r>
              <w:rPr>
                <w:rFonts w:ascii="Calibri" w:hAnsi="Calibri"/>
                <w:b w:val="0"/>
                <w:i w:val="0"/>
                <w:color w:val="1F2937"/>
                <w:sz w:val="21"/>
              </w:rPr>
              <w:t>¿Puede el estudiante mostrar qué pista utilizó, qué inferencia realizó y cómo convirtió ambas en una respuesta completa?</w:t>
            </w:r>
          </w:p>
        </w:tc>
      </w:tr>
    </w:tbl>
    <w:p>
      <w:pPr>
        <w:spacing w:after="40"/>
      </w:pPr>
    </w:p>
    <w:p>
      <w:pPr>
        <w:pStyle w:val="Heading1"/>
        <w:keepNext/>
      </w:pPr>
      <w:r>
        <w:rPr>
          <w:rFonts w:ascii="Calibri" w:hAnsi="Calibri"/>
          <w:b/>
          <w:i w:val="0"/>
          <w:color w:val="1F4D78"/>
          <w:sz w:val="32"/>
        </w:rPr>
        <w:t>8. Práctica guiada, feedback y transferencia</w:t>
      </w:r>
    </w:p>
    <w:p>
      <w:pPr>
        <w:pStyle w:val="ListBullet"/>
        <w:keepNext w:val="0"/>
        <w:spacing w:before="0" w:after="80" w:line="283" w:lineRule="auto"/>
      </w:pPr>
      <w:r>
        <w:rPr>
          <w:rFonts w:ascii="Calibri" w:hAnsi="Calibri"/>
          <w:b w:val="0"/>
          <w:i w:val="0"/>
          <w:color w:val="1F2937"/>
          <w:sz w:val="21"/>
        </w:rPr>
        <w:t>La práctica debe usar un segundo fragmento, distinto del ejemplo modelado, pero con la misma estrategia.</w:t>
      </w:r>
    </w:p>
    <w:p>
      <w:pPr>
        <w:pStyle w:val="ListBullet"/>
        <w:keepNext w:val="0"/>
        <w:spacing w:before="0" w:after="80" w:line="283" w:lineRule="auto"/>
      </w:pPr>
      <w:r>
        <w:rPr>
          <w:rFonts w:ascii="Calibri" w:hAnsi="Calibri"/>
          <w:b w:val="0"/>
          <w:i w:val="0"/>
          <w:color w:val="1F2937"/>
          <w:sz w:val="21"/>
        </w:rPr>
        <w:t>Debe dejar al menos una decisión visible al estudiante: seleccionar evidencia, completar una inferencia, escoger entre alternativas o redactar una respuesta parcial.</w:t>
      </w:r>
    </w:p>
    <w:p>
      <w:pPr>
        <w:pStyle w:val="ListBullet"/>
        <w:keepNext w:val="0"/>
        <w:spacing w:before="0" w:after="80" w:line="283" w:lineRule="auto"/>
      </w:pPr>
      <w:r>
        <w:rPr>
          <w:rFonts w:ascii="Calibri" w:hAnsi="Calibri"/>
          <w:b w:val="0"/>
          <w:i w:val="0"/>
          <w:color w:val="1F2937"/>
          <w:sz w:val="21"/>
        </w:rPr>
        <w:t>La respuesta no puede aparecer inmediatamente. Debe existir una pausa cognitiva real.</w:t>
      </w:r>
    </w:p>
    <w:p>
      <w:pPr>
        <w:pStyle w:val="ListBullet"/>
        <w:keepNext w:val="0"/>
        <w:spacing w:before="0" w:after="80" w:line="283" w:lineRule="auto"/>
      </w:pPr>
      <w:r>
        <w:rPr>
          <w:rFonts w:ascii="Calibri" w:hAnsi="Calibri"/>
          <w:b w:val="0"/>
          <w:i w:val="0"/>
          <w:color w:val="1F2937"/>
          <w:sz w:val="21"/>
        </w:rPr>
        <w:t>El feedback debe explicar qué parte está correcta, qué falta y cómo se mejora.</w:t>
      </w:r>
    </w:p>
    <w:p>
      <w:pPr>
        <w:pStyle w:val="ListBullet"/>
        <w:keepNext w:val="0"/>
        <w:spacing w:before="0" w:after="80" w:line="283" w:lineRule="auto"/>
      </w:pPr>
      <w:r>
        <w:rPr>
          <w:rFonts w:ascii="Calibri" w:hAnsi="Calibri"/>
          <w:b w:val="0"/>
          <w:i w:val="0"/>
          <w:color w:val="1F2937"/>
          <w:sz w:val="21"/>
        </w:rPr>
        <w:t>La transferencia debe pedir una aplicación concreta al Gancho o a un texto nuevo; no basta con decir “ahora aplica lo aprendido”.</w:t>
      </w:r>
    </w:p>
    <w:tbl>
      <w:tblPr>
        <w:tblStyle w:val="TableGrid"/>
        <w:tblW w:type="dxa" w:w="9360"/>
        <w:jc w:val="left"/>
        <w:tblLook w:firstColumn="1" w:firstRow="1" w:lastColumn="0" w:lastRow="0" w:noHBand="0" w:noVBand="1" w:val="04A0"/>
        <w:tblInd w:w="120" w:type="dxa"/>
      </w:tblPr>
      <w:tblGrid>
        <w:gridCol w:w="1900"/>
        <w:gridCol w:w="7460"/>
      </w:tblGrid>
      <w:tr>
        <w:tc>
          <w:tcPr>
            <w:tcW w:type="dxa" w:w="19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Fase</w:t>
            </w:r>
          </w:p>
        </w:tc>
        <w:tc>
          <w:tcPr>
            <w:tcW w:type="dxa" w:w="74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Evidencia mínima</w:t>
            </w:r>
          </w:p>
        </w:tc>
      </w:tr>
      <w:tr>
        <w:trPr>
          <w:cantSplit/>
        </w:trPr>
        <w:tc>
          <w:tcPr>
            <w:tcW w:type="dxa" w:w="19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Guiada</w:t>
            </w:r>
          </w:p>
        </w:tc>
        <w:tc>
          <w:tcPr>
            <w:tcW w:type="dxa" w:w="74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visible + pista señalada parcialmente + decisión del estudiante.</w:t>
            </w:r>
          </w:p>
        </w:tc>
      </w:tr>
      <w:tr>
        <w:trPr>
          <w:cantSplit/>
        </w:trPr>
        <w:tc>
          <w:tcPr>
            <w:tcW w:type="dxa" w:w="19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Feedback</w:t>
            </w:r>
          </w:p>
        </w:tc>
        <w:tc>
          <w:tcPr>
            <w:tcW w:type="dxa" w:w="74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posible + explicación de evidencia, inferencia y concepto.</w:t>
            </w:r>
          </w:p>
        </w:tc>
      </w:tr>
      <w:tr>
        <w:trPr>
          <w:cantSplit/>
        </w:trPr>
        <w:tc>
          <w:tcPr>
            <w:tcW w:type="dxa" w:w="19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74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nueva + respuesta o criterio verificable en notas o diapositiva.</w:t>
            </w:r>
          </w:p>
        </w:tc>
      </w:tr>
    </w:tbl>
    <w:p>
      <w:pPr>
        <w:spacing w:after="40"/>
      </w:pPr>
    </w:p>
    <w:p>
      <w:pPr>
        <w:pStyle w:val="Heading1"/>
        <w:keepNext/>
      </w:pPr>
      <w:r>
        <w:rPr>
          <w:rFonts w:ascii="Calibri" w:hAnsi="Calibri"/>
          <w:b/>
          <w:i w:val="0"/>
          <w:color w:val="1F4D78"/>
          <w:sz w:val="32"/>
        </w:rPr>
        <w:t>9. Sistema visual obligatorio</w:t>
      </w:r>
    </w:p>
    <w:p>
      <w:pPr>
        <w:pStyle w:val="Heading2"/>
        <w:keepNext/>
      </w:pPr>
      <w:r>
        <w:rPr>
          <w:rFonts w:ascii="Calibri" w:hAnsi="Calibri"/>
          <w:b/>
          <w:i w:val="0"/>
          <w:color w:val="1F4D78"/>
          <w:sz w:val="26"/>
        </w:rPr>
        <w:t>9.1 Jerarquía tipográfica</w:t>
      </w:r>
    </w:p>
    <w:p>
      <w:pPr>
        <w:pStyle w:val="ListBullet"/>
        <w:keepNext w:val="0"/>
        <w:spacing w:before="0" w:after="80" w:line="283" w:lineRule="auto"/>
      </w:pPr>
      <w:r>
        <w:rPr>
          <w:rFonts w:ascii="Calibri" w:hAnsi="Calibri"/>
          <w:b w:val="0"/>
          <w:i w:val="0"/>
          <w:color w:val="1F2937"/>
          <w:sz w:val="21"/>
        </w:rPr>
        <w:t>Una familia tipográfica y un tratamiento de peso para toda la Lección.</w:t>
      </w:r>
    </w:p>
    <w:p>
      <w:pPr>
        <w:pStyle w:val="ListBullet"/>
        <w:keepNext w:val="0"/>
        <w:spacing w:before="0" w:after="80" w:line="283" w:lineRule="auto"/>
      </w:pPr>
      <w:r>
        <w:rPr>
          <w:rFonts w:ascii="Calibri" w:hAnsi="Calibri"/>
          <w:b w:val="0"/>
          <w:i w:val="0"/>
          <w:color w:val="1F2937"/>
          <w:sz w:val="21"/>
        </w:rPr>
        <w:t>Etiqueta superior: tamaño pequeño y fijo; no competir con el título.</w:t>
      </w:r>
    </w:p>
    <w:p>
      <w:pPr>
        <w:pStyle w:val="ListBullet"/>
        <w:keepNext w:val="0"/>
        <w:spacing w:before="0" w:after="80" w:line="283" w:lineRule="auto"/>
      </w:pPr>
      <w:r>
        <w:t>Título principal: 60–72 pt, máximo dos líneas. El subtítulo se fija en 48 pt exactos; no se reduce para hacerlo caber.</w:t>
      </w:r>
    </w:p>
    <w:p>
      <w:pPr>
        <w:pStyle w:val="ListBullet"/>
        <w:keepNext w:val="0"/>
        <w:spacing w:before="0" w:after="80" w:line="283" w:lineRule="auto"/>
      </w:pPr>
      <w:r>
        <w:rPr>
          <w:rFonts w:ascii="Calibri" w:hAnsi="Calibri"/>
          <w:b w:val="0"/>
          <w:i w:val="0"/>
          <w:color w:val="1F2937"/>
          <w:sz w:val="21"/>
        </w:rPr>
        <w:t>Texto principal: escala constante, ancho seguro y máximo de líneas definido.</w:t>
      </w:r>
    </w:p>
    <w:p>
      <w:pPr>
        <w:pStyle w:val="ListBullet"/>
        <w:keepNext w:val="0"/>
        <w:spacing w:before="0" w:after="80" w:line="283" w:lineRule="auto"/>
      </w:pPr>
      <w:r>
        <w:rPr>
          <w:rFonts w:ascii="Calibri" w:hAnsi="Calibri"/>
          <w:b w:val="0"/>
          <w:i w:val="0"/>
          <w:color w:val="1F2937"/>
          <w:sz w:val="21"/>
        </w:rPr>
        <w:t>Citas, evidencia y feedback deben tener roles visuales definidos y no convertirse en bloques diminutos.</w:t>
      </w:r>
    </w:p>
    <w:p>
      <w:pPr>
        <w:pStyle w:val="Heading2"/>
        <w:keepNext/>
      </w:pPr>
      <w:r>
        <w:rPr>
          <w:rFonts w:ascii="Calibri" w:hAnsi="Calibri"/>
          <w:b/>
          <w:i w:val="0"/>
          <w:color w:val="1F4D78"/>
          <w:sz w:val="26"/>
        </w:rPr>
        <w:t>9.2 Contraste y legibilidad</w:t>
      </w:r>
    </w:p>
    <w:p>
      <w:pPr>
        <w:pStyle w:val="ListBullet"/>
        <w:keepNext w:val="0"/>
        <w:spacing w:before="0" w:after="80" w:line="283" w:lineRule="auto"/>
      </w:pPr>
      <w:r>
        <w:rPr>
          <w:rFonts w:ascii="Calibri" w:hAnsi="Calibri"/>
          <w:b w:val="0"/>
          <w:i w:val="0"/>
          <w:color w:val="1F2937"/>
          <w:sz w:val="21"/>
        </w:rPr>
        <w:t>No usar texto blanco sobre cielos, luces, fuego, páginas claras o brillos sin tratamiento de contraste.</w:t>
      </w:r>
    </w:p>
    <w:p>
      <w:pPr>
        <w:pStyle w:val="ListBullet"/>
        <w:keepNext w:val="0"/>
        <w:spacing w:before="0" w:after="80" w:line="283" w:lineRule="auto"/>
      </w:pPr>
      <w:r>
        <w:rPr>
          <w:rFonts w:ascii="Calibri" w:hAnsi="Calibri"/>
          <w:b w:val="0"/>
          <w:i w:val="0"/>
          <w:color w:val="1F2937"/>
          <w:sz w:val="21"/>
        </w:rPr>
        <w:t>Preferir fondos que tengan una zona oscura natural detrás del texto.</w:t>
      </w:r>
    </w:p>
    <w:p>
      <w:pPr>
        <w:pStyle w:val="ListBullet"/>
        <w:keepNext w:val="0"/>
        <w:spacing w:before="0" w:after="80" w:line="283" w:lineRule="auto"/>
      </w:pPr>
      <w:r>
        <w:rPr>
          <w:rFonts w:ascii="Calibri" w:hAnsi="Calibri"/>
          <w:b w:val="0"/>
          <w:i w:val="0"/>
          <w:color w:val="1F2937"/>
          <w:sz w:val="21"/>
        </w:rPr>
        <w:t>Si se necesita apoyo, usar degradado lateral o oscurecimiento local sutil; queda prohibida la cortina rectangular dominante.</w:t>
      </w:r>
    </w:p>
    <w:p>
      <w:pPr>
        <w:pStyle w:val="ListBullet"/>
        <w:keepNext w:val="0"/>
        <w:spacing w:before="0" w:after="80" w:line="283" w:lineRule="auto"/>
      </w:pPr>
      <w:r>
        <w:rPr>
          <w:rFonts w:ascii="Calibri" w:hAnsi="Calibri"/>
          <w:b w:val="0"/>
          <w:i w:val="0"/>
          <w:color w:val="1F2937"/>
          <w:sz w:val="21"/>
        </w:rPr>
        <w:t>Revisar cada diapositiva a tamaño completo, en miniatura y después de la compresión prevista para video.</w:t>
      </w:r>
    </w:p>
    <w:p>
      <w:pPr>
        <w:pStyle w:val="Heading2"/>
        <w:keepNext/>
      </w:pPr>
      <w:r>
        <w:rPr>
          <w:rFonts w:ascii="Calibri" w:hAnsi="Calibri"/>
          <w:b/>
          <w:i w:val="0"/>
          <w:color w:val="1F4D78"/>
          <w:sz w:val="26"/>
        </w:rPr>
        <w:t>9.3 Imagen y texto</w:t>
      </w:r>
    </w:p>
    <w:p>
      <w:pPr>
        <w:pStyle w:val="ListBullet"/>
        <w:keepNext w:val="0"/>
        <w:spacing w:before="0" w:after="80" w:line="283" w:lineRule="auto"/>
      </w:pPr>
      <w:r>
        <w:rPr>
          <w:rFonts w:ascii="Calibri" w:hAnsi="Calibri"/>
          <w:b w:val="0"/>
          <w:i w:val="0"/>
          <w:color w:val="1F2937"/>
          <w:sz w:val="21"/>
        </w:rPr>
        <w:t>El personaje, edad, género, acción y contexto visual deben coincidir con el texto.</w:t>
      </w:r>
    </w:p>
    <w:p>
      <w:pPr>
        <w:pStyle w:val="ListBullet"/>
        <w:keepNext w:val="0"/>
        <w:spacing w:before="0" w:after="80" w:line="283" w:lineRule="auto"/>
      </w:pPr>
      <w:r>
        <w:rPr>
          <w:rFonts w:ascii="Calibri" w:hAnsi="Calibri"/>
          <w:b w:val="0"/>
          <w:i w:val="0"/>
          <w:color w:val="1F2937"/>
          <w:sz w:val="21"/>
        </w:rPr>
        <w:t>La imagen debe representar el paso conceptual y no ser solo decoración.</w:t>
      </w:r>
    </w:p>
    <w:p>
      <w:pPr>
        <w:pStyle w:val="ListBullet"/>
        <w:keepNext w:val="0"/>
        <w:spacing w:before="0" w:after="80" w:line="283" w:lineRule="auto"/>
      </w:pPr>
      <w:r>
        <w:rPr>
          <w:rFonts w:ascii="Calibri" w:hAnsi="Calibri"/>
          <w:b w:val="0"/>
          <w:i w:val="0"/>
          <w:color w:val="1F2937"/>
          <w:sz w:val="21"/>
        </w:rPr>
        <w:t>El personaje debe permanecer visible; el mapa de lectura no puede taparlo.</w:t>
      </w:r>
    </w:p>
    <w:p>
      <w:pPr>
        <w:pStyle w:val="ListBullet"/>
        <w:keepNext w:val="0"/>
        <w:spacing w:before="0" w:after="80" w:line="283" w:lineRule="auto"/>
      </w:pPr>
      <w:r>
        <w:rPr>
          <w:rFonts w:ascii="Calibri" w:hAnsi="Calibri"/>
          <w:b w:val="0"/>
          <w:i w:val="0"/>
          <w:color w:val="1F2937"/>
          <w:sz w:val="21"/>
        </w:rPr>
        <w:t>No repetir escenas ni fondos entre OA; dentro de una Lección se permite continuidad, pero no repetición mecánica.</w:t>
      </w:r>
    </w:p>
    <w:p>
      <w:pPr>
        <w:pStyle w:val="Heading1"/>
        <w:keepNext/>
      </w:pPr>
      <w:r>
        <w:t>10. Notas al orador y voz en off</w:t>
      </w:r>
    </w:p>
    <w:p>
      <w:pPr>
        <w:keepNext w:val="0"/>
        <w:spacing w:before="0" w:after="120" w:line="300" w:lineRule="auto"/>
      </w:pPr>
      <w:r>
        <w:rPr>
          <w:rFonts w:ascii="Calibri" w:hAnsi="Calibri"/>
          <w:b w:val="0"/>
          <w:i w:val="0"/>
          <w:color w:val="1F2937"/>
          <w:sz w:val="21"/>
        </w:rPr>
        <w:t>Las notas al orador son el guion pedagógico completo. No deben repetir mecánicamente el texto de la diapositiva.</w:t>
      </w:r>
    </w:p>
    <w:tbl>
      <w:tblPr>
        <w:tblStyle w:val="TableGrid"/>
        <w:tblW w:type="dxa" w:w="9360"/>
        <w:jc w:val="left"/>
        <w:tblLook w:firstColumn="1" w:firstRow="1" w:lastColumn="0" w:lastRow="0" w:noHBand="0" w:noVBand="1" w:val="04A0"/>
        <w:tblInd w:w="120" w:type="dxa"/>
      </w:tblPr>
      <w:tblGrid>
        <w:gridCol w:w="2000"/>
        <w:gridCol w:w="7360"/>
      </w:tblGrid>
      <w:tr>
        <w:tc>
          <w:tcPr>
            <w:tcW w:type="dxa" w:w="20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Elemento</w:t>
            </w:r>
          </w:p>
        </w:tc>
        <w:tc>
          <w:tcPr>
            <w:tcW w:type="dxa" w:w="73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Exigencia</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visible</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Una idea clara, legible y coherente con la imagen.</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Observación</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debe mirar el estudiante.</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Pensamiento</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debe inferir o decidir.</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se espera y cuándo se muestra.</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Feedback</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Por qué la respuesta es válida o cómo se mejora.</w:t>
            </w:r>
          </w:p>
        </w:tc>
      </w:tr>
      <w:tr>
        <w:trPr>
          <w:cantSplit/>
        </w:trPr>
        <w:tc>
          <w:tcPr>
            <w:tcW w:type="dxa" w:w="20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Continuidad</w:t>
            </w:r>
          </w:p>
        </w:tc>
        <w:tc>
          <w:tcPr>
            <w:tcW w:type="dxa" w:w="73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Cómo el paso conecta con la diapositiva siguiente.</w:t>
            </w:r>
          </w:p>
        </w:tc>
      </w:tr>
      <w:tr>
        <w:trPr>
          <w:cantSplit/>
        </w:trPr>
        <w:tc>
          <w:tcPr>
            <w:tcW w:type="dxa" w:w="20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Notas al orador</w:t>
            </w:r>
          </w:p>
        </w:tc>
        <w:tc>
          <w:tcPr>
            <w:tcW w:type="dxa" w:w="73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Voz en off completa, integrada en cada diapositiva del PPTX.</w:t>
            </w:r>
          </w:p>
        </w:tc>
      </w:tr>
    </w:tbl>
    <w:p>
      <w:pPr>
        <w:spacing w:after="40"/>
      </w:pPr>
    </w:p>
    <w:p>
      <w:pPr>
        <w:pStyle w:val="Heading1"/>
        <w:keepNext/>
      </w:pPr>
      <w:r>
        <w:rPr>
          <w:rFonts w:ascii="Calibri" w:hAnsi="Calibri"/>
          <w:b/>
          <w:i w:val="0"/>
          <w:color w:val="1F4D78"/>
          <w:sz w:val="32"/>
        </w:rPr>
        <w:t>11. Ficha Maestra obligatoria por OA</w:t>
      </w:r>
    </w:p>
    <w:tbl>
      <w:tblPr>
        <w:tblStyle w:val="TableGrid"/>
        <w:tblW w:type="dxa" w:w="9360"/>
        <w:jc w:val="left"/>
        <w:tblLook w:firstColumn="1" w:firstRow="1" w:lastColumn="0" w:lastRow="0" w:noHBand="0" w:noVBand="1" w:val="04A0"/>
        <w:tblInd w:w="120" w:type="dxa"/>
      </w:tblPr>
      <w:tblGrid>
        <w:gridCol w:w="2200"/>
        <w:gridCol w:w="7160"/>
      </w:tblGrid>
      <w:tr>
        <w:tc>
          <w:tcPr>
            <w:tcW w:type="dxa" w:w="22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Campo</w:t>
            </w:r>
          </w:p>
        </w:tc>
        <w:tc>
          <w:tcPr>
            <w:tcW w:type="dxa" w:w="71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Debe registrar</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OA e indicador</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Redacción oficial, fuente y alcance real.</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 focal</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Herramienta que se enseñará profundamente.</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Conceptos asociados</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Qué se mapeará, qué se desarrollará y qué quedará para otra Lección.</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del Gancho</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que la Lección debe iluminar o resolver.</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Fragmento modelado</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Texto breve, coherente y suficiente para la demostración.</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Evidencia</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Frase o relación que se marcará.</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Inferencia</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Razonamiento que conecta la evidencia con el concepto.</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Respuesta modelo</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Afirmación completa, evidencia y explicación.</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Práctica guiada</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Segundo fragmento, decisión parcial, respuesta y feedback.</w:t>
            </w:r>
          </w:p>
        </w:tc>
      </w:tr>
      <w:tr>
        <w:trPr>
          <w:cantSplit/>
        </w:trPr>
        <w:tc>
          <w:tcPr>
            <w:tcW w:type="dxa" w:w="22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Transferencia</w:t>
            </w:r>
          </w:p>
        </w:tc>
        <w:tc>
          <w:tcPr>
            <w:tcW w:type="dxa" w:w="71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Pregunta nueva o retorno al Gancho con criterio verificable.</w:t>
            </w:r>
          </w:p>
        </w:tc>
      </w:tr>
      <w:tr>
        <w:trPr>
          <w:cantSplit/>
        </w:trPr>
        <w:tc>
          <w:tcPr>
            <w:tcW w:type="dxa" w:w="22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Visuales</w:t>
            </w:r>
          </w:p>
        </w:tc>
        <w:tc>
          <w:tcPr>
            <w:tcW w:type="dxa" w:w="71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Personaje, escena, texto fuente, contraste y variedad.</w:t>
            </w:r>
          </w:p>
        </w:tc>
      </w:tr>
    </w:tbl>
    <w:p>
      <w:pPr>
        <w:spacing w:after="40"/>
      </w:pPr>
    </w:p>
    <w:p>
      <w:pPr>
        <w:pStyle w:val="Heading1"/>
        <w:keepNext/>
      </w:pPr>
      <w:r>
        <w:rPr>
          <w:rFonts w:ascii="Calibri" w:hAnsi="Calibri"/>
          <w:b/>
          <w:i w:val="0"/>
          <w:color w:val="1F4D78"/>
          <w:sz w:val="32"/>
        </w:rPr>
        <w:t>12. Flujo de producción obligatorio</w:t>
      </w:r>
    </w:p>
    <w:p>
      <w:pPr>
        <w:keepNext w:val="0"/>
        <w:keepLines/>
        <w:spacing w:before="0" w:after="60" w:line="283" w:lineRule="auto"/>
        <w:ind w:left="403" w:hanging="403"/>
      </w:pPr>
      <w:r>
        <w:t>1. Extraer el OA, sus indicadores y el alcance desde el temario oficial.</w:t>
      </w:r>
    </w:p>
    <w:p>
      <w:pPr>
        <w:keepNext w:val="0"/>
        <w:keepLines/>
        <w:spacing w:before="0" w:after="60" w:line="283" w:lineRule="auto"/>
        <w:ind w:left="403" w:hanging="403"/>
      </w:pPr>
      <w:r>
        <w:t>2. Completar la Ficha Maestra de la Lección.</w:t>
      </w:r>
    </w:p>
    <w:p>
      <w:pPr>
        <w:keepNext w:val="0"/>
        <w:keepLines/>
        <w:spacing w:before="0" w:after="60" w:line="283" w:lineRule="auto"/>
        <w:ind w:left="403" w:hanging="403"/>
      </w:pPr>
      <w:r>
        <w:t>3. Diseñar el Gancho de 60 segundos y su pregunta de apertura.</w:t>
      </w:r>
    </w:p>
    <w:p>
      <w:pPr>
        <w:keepNext w:val="0"/>
        <w:keepLines/>
        <w:spacing w:before="0" w:after="60" w:line="283" w:lineRule="auto"/>
        <w:ind w:left="403" w:hanging="403"/>
      </w:pPr>
      <w:r>
        <w:t>4. Definir el objetivo específico y ubicarlo en la diapositiva 1 explicativa.</w:t>
      </w:r>
    </w:p>
    <w:p>
      <w:pPr>
        <w:keepNext w:val="0"/>
        <w:keepLines/>
        <w:spacing w:before="0" w:after="60" w:line="283" w:lineRule="auto"/>
        <w:ind w:left="403" w:hanging="403"/>
      </w:pPr>
      <w:r>
        <w:t>5. Preparar la explicación de 90 segundos con un ejemplo modelado y sin desafío final.</w:t>
      </w:r>
    </w:p>
    <w:p>
      <w:pPr>
        <w:keepNext w:val="0"/>
        <w:keepLines/>
        <w:spacing w:before="0" w:after="60" w:line="283" w:lineRule="auto"/>
        <w:ind w:left="403" w:hanging="403"/>
      </w:pPr>
      <w:r>
        <w:t>6. Montar un único PPTX por presentación, con imagen, texto o matemática y notas de voz en off.</w:t>
      </w:r>
    </w:p>
    <w:p>
      <w:pPr>
        <w:keepNext w:val="0"/>
        <w:keepLines/>
        <w:spacing w:before="0" w:after="60" w:line="283" w:lineRule="auto"/>
        <w:ind w:left="403" w:hanging="403"/>
      </w:pPr>
      <w:r>
        <w:t>7. Revisar contenido, duración exacta, subtítulo, contraste y presencia de ambos protagonistas.</w:t>
      </w:r>
    </w:p>
    <w:p>
      <w:pPr>
        <w:keepNext w:val="0"/>
        <w:keepLines/>
        <w:spacing w:before="0" w:after="60" w:line="283" w:lineRule="auto"/>
        <w:ind w:left="403" w:hanging="403"/>
      </w:pPr>
      <w:r>
        <w:t>8. Abrir, renderizar y guardar el PPTX validado con sus notas.</w:t>
      </w:r>
    </w:p>
    <w:p>
      <w:pPr>
        <w:pStyle w:val="Heading1"/>
        <w:keepNext/>
      </w:pPr>
      <w:r>
        <w:rPr>
          <w:rFonts w:ascii="Calibri" w:hAnsi="Calibri"/>
          <w:b/>
          <w:i w:val="0"/>
          <w:color w:val="1F4D78"/>
          <w:sz w:val="32"/>
        </w:rPr>
        <w:t>13. Puertas de calidad antes de entregar</w:t>
      </w:r>
    </w:p>
    <w:tbl>
      <w:tblPr>
        <w:tblStyle w:val="TableGrid"/>
        <w:tblW w:type="dxa" w:w="9360"/>
        <w:jc w:val="left"/>
        <w:tblLook w:firstColumn="1" w:firstRow="1" w:lastColumn="0" w:lastRow="0" w:noHBand="0" w:noVBand="1" w:val="04A0"/>
        <w:tblInd w:w="120" w:type="dxa"/>
      </w:tblPr>
      <w:tblGrid>
        <w:gridCol w:w="1700"/>
        <w:gridCol w:w="7660"/>
      </w:tblGrid>
      <w:tr>
        <w:tc>
          <w:tcPr>
            <w:tcW w:type="dxa" w:w="170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Área</w:t>
            </w:r>
          </w:p>
        </w:tc>
        <w:tc>
          <w:tcPr>
            <w:tcW w:type="dxa" w:w="7660"/>
            <w:shd w:fill="2E74B5"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40" w:lineRule="auto"/>
            </w:pPr>
            <w:r>
              <w:rPr>
                <w:rFonts w:ascii="Calibri" w:hAnsi="Calibri"/>
                <w:b/>
                <w:i w:val="0"/>
                <w:color w:val="FFFFFF"/>
                <w:sz w:val="19"/>
              </w:rPr>
              <w:t>Criterios bloqueantes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Disciplinar</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OA e indicadores correctos; conceptos delimitados; fragmento coherente; evidencia e inferencia válidas.</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Pedagógica</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Meta clara; mapa visual; ejemplo completo; práctica guiada; respuesta; feedback; transferencia.</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Visual</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Jerarquía tipográfica uniforme; contraste suficiente; texto legible; personaje visible; imagen pertinente; sin cortina ni repetición.</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Notas</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Narración completa; decisiones visibles; respuestas esperadas; continuidad entre diapositivas.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Técnica</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PPTX abre; 17 diapositivas; sin desbordes; notas presentes; imágenes numeradas correctamente.</w:t>
            </w:r>
          </w:p>
        </w:tc>
      </w:tr>
      <w:tr>
        <w:trPr>
          <w:cantSplit/>
        </w:trPr>
        <w:tc>
          <w:tcPr>
            <w:tcW w:type="dxa" w:w="17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Entrega única</w:t>
            </w:r>
          </w:p>
        </w:tc>
        <w:tc>
          <w:tcPr>
            <w:tcW w:type="dxa" w:w="76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Un PPTX por presentación, con imágenes y notas al orador integradas.</w:t>
            </w:r>
          </w:p>
        </w:tc>
      </w:tr>
      <w:tr>
        <w:trPr>
          <w:cantSplit/>
        </w:trPr>
        <w:tc>
          <w:tcPr>
            <w:tcW w:type="dxa" w:w="17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Entrega</w:t>
            </w:r>
          </w:p>
        </w:tc>
        <w:tc>
          <w:tcPr>
            <w:tcW w:type="dxa" w:w="76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Un PPTX validado, con notas al orador completas y sin archivos separados.</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r>
              <w:t>Entrega: un PPTX por presentación, sin archivos separados.</w:t>
            </w:r>
          </w:p>
        </w:tc>
      </w:tr>
    </w:tbl>
    <w:p>
      <w:pPr>
        <w:spacing w:after="40"/>
      </w:pPr>
    </w:p>
    <w:p>
      <w:pPr>
        <w:pStyle w:val="Heading1"/>
        <w:keepNext/>
      </w:pPr>
      <w:r>
        <w:rPr>
          <w:rFonts w:ascii="Calibri" w:hAnsi="Calibri"/>
          <w:b/>
          <w:i w:val="0"/>
          <w:color w:val="1F4D78"/>
          <w:sz w:val="32"/>
        </w:rPr>
        <w:t>14. Nomenclatura y entrega</w:t>
      </w:r>
    </w:p>
    <w:p>
      <w:pPr>
        <w:keepNext w:val="0"/>
        <w:spacing w:before="0" w:after="120" w:line="300" w:lineRule="auto"/>
      </w:pPr>
      <w:r>
        <w:rPr>
          <w:rFonts w:ascii="Calibri" w:hAnsi="Calibri"/>
          <w:b w:val="0"/>
          <w:i w:val="0"/>
          <w:color w:val="1F2937"/>
          <w:sz w:val="21"/>
        </w:rPr>
        <w:t>La nomenclatura se construye con la asignatura y el OA real. No se agregan sufijos, versiones, fechas ni textos auxiliares al nombre base.</w:t>
      </w:r>
    </w:p>
    <w:tbl>
      <w:tblPr>
        <w:tblStyle w:val="TableGrid"/>
        <w:tblW w:type="dxa" w:w="9360"/>
        <w:jc w:val="left"/>
        <w:tblLook w:firstColumn="1" w:firstRow="1" w:lastColumn="0" w:lastRow="0" w:noHBand="0" w:noVBand="1" w:val="04A0"/>
        <w:tblInd w:w="120" w:type="dxa"/>
      </w:tblPr>
      <w:tblGrid>
        <w:gridCol w:w="2400"/>
        <w:gridCol w:w="6960"/>
      </w:tblGrid>
      <w:tr>
        <w:tc>
          <w:tcPr>
            <w:tcW w:type="dxa" w:w="240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Presentación</w:t>
            </w:r>
          </w:p>
        </w:tc>
        <w:tc>
          <w:tcPr>
            <w:tcW w:type="dxa" w:w="6960"/>
            <w:shd w:fill="1F4D78" w:val="clear"/>
            <w:vAlign w:val="center"/>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r>
              <w:t>Nombre del PPTX</w:t>
            </w:r>
          </w:p>
        </w:tc>
      </w:tr>
      <w:tr>
        <w:trPr>
          <w:cantSplit/>
        </w:trPr>
        <w:tc>
          <w:tcPr>
            <w:tcW w:type="dxa" w:w="240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Gancho PPTX</w:t>
            </w:r>
          </w:p>
        </w:tc>
        <w:tc>
          <w:tcPr>
            <w:tcW w:type="dxa" w:w="6960"/>
            <w:shd w:fill="F4F6F9"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110-7-[SIGLA]-OA[NN]-GANCHO.pptx</w:t>
            </w:r>
          </w:p>
        </w:tc>
      </w:tr>
      <w:tr>
        <w:trPr>
          <w:cantSplit/>
        </w:trPr>
        <w:tc>
          <w:tcPr>
            <w:tcW w:type="dxa" w:w="240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Lección PPTX</w:t>
            </w:r>
          </w:p>
        </w:tc>
        <w:tc>
          <w:tcPr>
            <w:tcW w:type="dxa" w:w="6960"/>
            <w:shd w:fill="FFFFFF" w:val="clear"/>
            <w:vAlign w:val="top"/>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tcPr>
          <w:p>
            <w:pPr>
              <w:keepNext w:val="0"/>
              <w:spacing w:before="0" w:after="0" w:line="259" w:lineRule="auto"/>
            </w:pPr>
            <w:r>
              <w:rPr>
                <w:rFonts w:ascii="Calibri" w:hAnsi="Calibri"/>
                <w:b w:val="0"/>
                <w:i w:val="0"/>
                <w:color w:val="1F2937"/>
                <w:sz w:val="18"/>
              </w:rPr>
              <w:t>110-7-[SIGLA]-OA[NN]-LECCION.pptx</w:t>
            </w:r>
          </w:p>
        </w:tc>
      </w:tr>
    </w:tbl>
    <w:p>
      <w:pPr>
        <w:spacing w:after="40"/>
      </w:pP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E8EEF5" w:val="clear"/>
          </w:tcPr>
          <w:p>
            <w:r>
              <w:t>Entrega única</w:t>
            </w:r>
          </w:p>
        </w:tc>
      </w:tr>
    </w:tbl>
    <w:p>
      <w:pPr>
        <w:spacing w:after="40"/>
      </w:pPr>
    </w:p>
    <w:p>
      <w:pPr>
        <w:pStyle w:val="Heading1"/>
        <w:keepNext/>
      </w:pPr>
      <w:r>
        <w:rPr>
          <w:rFonts w:ascii="Calibri" w:hAnsi="Calibri"/>
          <w:b/>
          <w:i w:val="0"/>
          <w:color w:val="1F4D78"/>
          <w:sz w:val="32"/>
        </w:rPr>
        <w:t>15. Fórmula de aprobación</w:t>
      </w:r>
    </w:p>
    <w:tbl>
      <w:tblPr>
        <w:tblW w:type="dxa" w:w="9360"/>
        <w:jc w:val="left"/>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6" w:space="0" w:color="D9E1EA"/>
              <w:left w:val="single" w:sz="6" w:space="0" w:color="D9E1EA"/>
              <w:bottom w:val="single" w:sz="6" w:space="0" w:color="D9E1EA"/>
              <w:right w:val="single" w:sz="6" w:space="0" w:color="D9E1EA"/>
              <w:insideH w:val="single" w:sz="6" w:space="0" w:color="D9E1EA"/>
              <w:insideV w:val="single" w:sz="6" w:space="0" w:color="D9E1EA"/>
            </w:tcBorders>
            <w:shd w:fill="FFF5DD" w:val="clear"/>
          </w:tcPr>
          <w:p>
            <w:pPr>
              <w:keepNext w:val="0"/>
              <w:spacing w:before="40" w:after="40" w:line="276" w:lineRule="auto"/>
            </w:pPr>
            <w:r>
              <w:rPr>
                <w:rFonts w:ascii="Calibri" w:hAnsi="Calibri"/>
                <w:b/>
                <w:i w:val="0"/>
                <w:color w:val="C58A19"/>
                <w:sz w:val="21"/>
              </w:rPr>
              <w:t xml:space="preserve">FÓRMULA  </w:t>
            </w:r>
            <w:r>
              <w:rPr>
                <w:rFonts w:ascii="Calibri" w:hAnsi="Calibri"/>
                <w:b w:val="0"/>
                <w:i w:val="0"/>
                <w:color w:val="1F2937"/>
                <w:sz w:val="21"/>
              </w:rPr>
              <w:t>Meta clara + mapa visual + fragmento fuente + evidencia marcada + inferencia explicada + concepto identificado + respuesta justificada + práctica guiada + feedback + transferencia + QA visual/técnico + entrega verificable.</w:t>
            </w:r>
          </w:p>
        </w:tc>
      </w:tr>
    </w:tbl>
    <w:p>
      <w:pPr>
        <w:spacing w:after="40"/>
      </w:pPr>
    </w:p>
    <w:p>
      <w:pPr>
        <w:pStyle w:val="Heading1"/>
      </w:pPr>
      <w:r>
        <w:t>16. Guardrails de piloto y producción autónoma</w:t>
      </w:r>
    </w:p>
    <w:p>
      <w:r>
        <w:rPr>
          <w:b/>
        </w:rPr>
        <w:t xml:space="preserve">REGLA DE PILOTO BLOQUEANTE. </w:t>
      </w:r>
      <w:r>
        <w:t>El OA03 de Lengua y Literatura es el piloto obligatorio. Ningún otro OA puede declararse terminado ni entregarse hasta que el piloto haya superado las puertas disciplinar, pedagógica, visual, técnica y de entrega, y haya sido aprobado por el usuario.</w:t>
      </w:r>
    </w:p>
    <w:p>
      <w:pPr>
        <w:pStyle w:val="Heading2"/>
      </w:pPr>
      <w:r>
        <w:t>16.1 Congelamiento posterior al piloto</w:t>
      </w:r>
    </w:p>
    <w:p>
      <w:r>
        <w:t>Las notas al orador de cada diapositiva contienen la voz en off completa y se revisan dentro del PPTX.</w:t>
      </w:r>
    </w:p>
    <w:p>
      <w:pPr>
        <w:pStyle w:val="Heading2"/>
      </w:pPr>
      <w:r>
        <w:t>16.2 Escala tipográfica verificable</w:t>
      </w:r>
    </w:p>
    <w:p>
      <w:r>
        <w:t>Para video 16:9: título principal de 60–72 pt; subtítulo de 48 pt; dato o instrucción breve de 44–54 pt. El texto no esencial se elimina; no se reduce para hacerlo caber.</w:t>
      </w:r>
    </w:p>
    <w:p>
      <w:pPr>
        <w:pStyle w:val="Heading2"/>
      </w:pPr>
      <w:r>
        <w:t>16.3 Prohibición de herencia no auditada</w:t>
      </w:r>
    </w:p>
    <w:p>
      <w:r>
        <w:t>Al editar una diapositiva importada no se pueden conservar estilos de texto antiguos sin inspección. Cada cambio de contenido debe normalizar explícitamente tamaño, peso, color, interlineado y ancho de caja. Las diapositivas con texto incrustado en imágenes deben compararse con las diapositivas editables antes de aprobarse.</w:t>
      </w:r>
    </w:p>
    <w:p>
      <w:pPr>
        <w:pStyle w:val="Heading2"/>
      </w:pPr>
      <w:r>
        <w:t>16.4 Diapositivas ancla y comparación</w:t>
      </w:r>
    </w:p>
    <w:p>
      <w:r>
        <w:t>Cada OA se compara contra tres anclas del piloto: una diapositiva de meta, una de modelado y una de práctica/feedback. La comparación debe revisar tamaño de título, subtítulo, cuerpo, contraste, posición, densidad y visibilidad del personaje. Si una diapositiva se percibe menor o más densa que el ancla, vuelve a producción.</w:t>
      </w:r>
    </w:p>
    <w:p>
      <w:pPr>
        <w:pStyle w:val="Heading2"/>
      </w:pPr>
      <w:r>
        <w:t>16.5 Regla de detención por patrón</w:t>
      </w:r>
    </w:p>
    <w:p>
      <w:r>
        <w:t>Si el mismo error aparece en dos diapositivas de un OA —tipografía, contraste, personaje, texto fuera de caja, imagen repetida, notas o nomenclatura— se detiene la producción del OA completo, se corrige la plantilla o el procedimiento y se vuelve a revisar desde el principio.</w:t>
      </w:r>
    </w:p>
    <w:p>
      <w:pPr>
        <w:pStyle w:val="Heading2"/>
      </w:pPr>
      <w:r>
        <w:t>16.6 Banco visual independiente</w:t>
      </w:r>
    </w:p>
    <w:p>
      <w:r>
        <w:t>Cada OA debe tener un banco visual propio, con imágenes suficientemente distintas entre sí y respecto de los demás OA. Se comprobará mediante contacto visual y comparación de similitud que no se repitan mecánicamente fondos, poses, encuadres, composiciones ni escenas. La continuidad del personaje no autoriza reutilizar la misma imagen.</w:t>
      </w:r>
    </w:p>
    <w:p>
      <w:pPr>
        <w:pStyle w:val="Heading2"/>
      </w:pPr>
      <w:r>
        <w:t>16.7 Registro de misión por OA</w:t>
      </w:r>
    </w:p>
    <w:p>
      <w:r>
        <w:t>Antes de producir, se debe completar una ficha de control con OA e indicador, alcance curricular, concepto focal, continuidad con el Gancho, fragmento, evidencia, inferencia, respuesta, práctica, feedback, transferencia, protagonista, banco visual, tokens tipográficos y restricciones. Esta ficha es la fuente de verdad de la producción.</w:t>
      </w:r>
    </w:p>
    <w:p>
      <w:pPr>
        <w:pStyle w:val="Heading2"/>
      </w:pPr>
      <w:r>
        <w:t>16.8 Autonomía controlada</w:t>
      </w:r>
    </w:p>
    <w:p>
      <w:r>
        <w:t>Después de la aprobación del piloto, el sistema produce los OA restantes sin solicitar confirmaciones intermedias. La autonomía no permite cambiar el temario, la arquitectura, la escala visual, la nomenclatura ni los criterios de QA. Si aparece un bloqueo real, se detiene solo el OA afectado y se informa el bloqueo.</w:t>
      </w:r>
    </w:p>
    <w:p>
      <w:pPr>
        <w:pStyle w:val="Heading2"/>
      </w:pPr>
      <w:r>
        <w:t>16.9 Preflight de entrega</w:t>
      </w:r>
    </w:p>
    <w:p>
      <w:r>
        <w:t>Cada presentación se entrega como un único PPTX con una imagen por diapositiva y notas al orador; se abre, renderiza y verifica antes de entregar.</w:t>
      </w:r>
    </w:p>
    <w:p>
      <w:pPr>
        <w:pStyle w:val="Heading2"/>
      </w:pPr>
      <w:r>
        <w:t>16.10 Control de peso y descargabilidad</w:t>
      </w:r>
    </w:p>
    <w:p>
      <w:pPr/>
      <w:r>
        <w:t>Las notas al orador de cada diapositiva contienen la voz en off completa y se revisan dentro del PPTX.</w:t>
      </w:r>
    </w:p>
    <w:p>
      <w:pPr>
        <w:pStyle w:val="Heading1"/>
      </w:pPr>
      <w:r>
        <w:t>17. Fórmula operativa de misión</w:t>
      </w:r>
    </w:p>
    <w:p>
      <w:r>
        <w:rPr>
          <w:b/>
        </w:rPr>
        <w:t>PILOTO OA03 APROBADO → SISTEMA CONGELADO → PRODUCCIÓN AUTÓNOMA → QA POR OA → ENTREGA VERIFICADA.</w:t>
      </w:r>
    </w:p>
    <w:p>
      <w:r>
        <w:t>El Plan Maestro es la misión y sus puertas son bloqueantes. La velocidad de producción nunca puede superar la verificación.</w:t>
      </w:r>
    </w:p>
    <w:p>
      <w:r>
        <w:br w:type="page"/>
      </w:r>
    </w:p>
    <w:p>
      <w:pPr>
        <w:pStyle w:val="Heading1"/>
        <w:keepNext/>
      </w:pPr>
      <w:r>
        <w:t>18 · REFORMULACIÓN OPERATIVA DEL MODELAMIENTO VISIBLE</w:t>
      </w:r>
    </w:p>
    <w:p>
      <w:r>
        <w:t>Esta sección convierte el Mapa Visual de Análisis Textual en una regla de producción verificable. No basta con declarar que se modelará un análisis: cada etapa debe ser visible en la diapositiva y debe conservar el vínculo con el mismo texto fuente.</w:t>
      </w:r>
    </w:p>
    <w:p>
      <w:pPr>
        <w:pStyle w:val="Heading2"/>
        <w:keepNext/>
      </w:pPr>
      <w:r>
        <w:t>18.1 · El texto leído es el objeto permanente de la Lección</w:t>
      </w:r>
    </w:p>
    <w:p>
      <w:pPr>
        <w:pStyle w:val="ListBullet"/>
      </w:pPr>
      <w:r>
        <w:t>Si el protagonista aparece leyendo, el fragmento que lee debe aparecer en pantalla como texto nítido, editable y legible para el estudiante.</w:t>
      </w:r>
    </w:p>
    <w:p>
      <w:pPr>
        <w:pStyle w:val="ListBullet"/>
      </w:pPr>
      <w:r>
        <w:t>El texto fuente no puede quedar solo dentro de la ilustración ni reducirse a una referencia en las notas al orador.</w:t>
      </w:r>
    </w:p>
    <w:p>
      <w:pPr>
        <w:pStyle w:val="ListBullet"/>
      </w:pPr>
      <w:r>
        <w:t>El mismo fragmento debe reutilizarse en las etapas de evidencia, inferencia, concepto y respuesta.</w:t>
      </w:r>
    </w:p>
    <w:p>
      <w:pPr>
        <w:pStyle w:val="ListBullet"/>
      </w:pPr>
      <w:r>
        <w:t>Cada modificación del fragmento debe mostrar qué cambió: subrayado, color, recuadro, flecha o conexión visible.</w:t>
      </w:r>
    </w:p>
    <w:p>
      <w:pPr>
        <w:pStyle w:val="ListBullet"/>
      </w:pPr>
      <w:r>
        <w:t>No se reemplaza el fragmento por una paráfrasis cuando se está justificando una interpretación.</w:t>
      </w:r>
    </w:p>
    <w:p>
      <w:pPr>
        <w:pStyle w:val="Heading2"/>
        <w:keepNext/>
      </w:pPr>
      <w:r>
        <w:t>18.2 · Secuencia mínima del ejemplo completamente desarrollado</w:t>
      </w:r>
    </w:p>
    <w:p>
      <w:r>
        <w:t>Toda Lección de Lengua debe incluir un ejemplo en el que el estudiante pueda reconstruir el pensamiento del lector sin saltos. La secuencia mínima es la siguiente:</w:t>
      </w:r>
    </w:p>
    <w:p>
      <w:pPr>
        <w:pStyle w:val="ListNumber"/>
      </w:pPr>
      <w:r>
        <w:t>Leer: presentar el fragmento completo y la pregunta de lectura.</w:t>
      </w:r>
    </w:p>
    <w:p>
      <w:pPr>
        <w:pStyle w:val="ListNumber"/>
      </w:pPr>
      <w:r>
        <w:t>Localizar: marcar la palabra o frase literal que contiene la pista.</w:t>
      </w:r>
    </w:p>
    <w:p>
      <w:pPr>
        <w:pStyle w:val="ListNumber"/>
      </w:pPr>
      <w:r>
        <w:t>Interpretar: explicar con lenguaje sencillo qué muestra esa pista.</w:t>
      </w:r>
    </w:p>
    <w:p>
      <w:pPr>
        <w:pStyle w:val="ListNumber"/>
      </w:pPr>
      <w:r>
        <w:t>Relacionar: conectar la pista con el concepto del OA.</w:t>
      </w:r>
    </w:p>
    <w:p>
      <w:pPr>
        <w:pStyle w:val="ListNumber"/>
      </w:pPr>
      <w:r>
        <w:t>Construir: redactar la respuesta usando afirmación, evidencia y explicación.</w:t>
      </w:r>
    </w:p>
    <w:p>
      <w:pPr>
        <w:pStyle w:val="ListNumber"/>
      </w:pPr>
      <w:r>
        <w:t>Verificar: comprobar que la respuesta responde la pregunta y puede demostrarse en el texto.</w:t>
      </w:r>
    </w:p>
    <w:p>
      <w:r>
        <w:t>La presentación debe mostrar cada etapa en una diapositiva o en una transición claramente diferenciada. No se considera modelamiento completo si el texto aparece una sola vez y luego se sustituye por tarjetas abstractas.</w:t>
      </w:r>
    </w:p>
    <w:p>
      <w:pPr>
        <w:pStyle w:val="Heading2"/>
        <w:keepNext/>
      </w:pPr>
      <w:r>
        <w:t>18.3 · Marcado progresivo y código visual</w:t>
      </w:r>
    </w:p>
    <w:p>
      <w:r>
        <w:t>El marcado visual debe funcionar como un mapa didáctico, no como decoración. El color y el tipo de marca se mantienen durante toda la Lección.</w:t>
      </w:r>
    </w:p>
    <w:p>
      <w:pPr>
        <w:pStyle w:val="ListBullet"/>
      </w:pPr>
      <w:r>
        <w:t>Amarillo: conflicto o tensión principal.</w:t>
      </w:r>
    </w:p>
    <w:p>
      <w:pPr>
        <w:pStyle w:val="ListBullet"/>
      </w:pPr>
      <w:r>
        <w:t>Azul: acción, decisión o cambio producido por el personaje.</w:t>
      </w:r>
    </w:p>
    <w:p>
      <w:pPr>
        <w:pStyle w:val="ListBullet"/>
      </w:pPr>
      <w:r>
        <w:t>Verde: consecuencia o efecto.</w:t>
      </w:r>
    </w:p>
    <w:p>
      <w:pPr>
        <w:pStyle w:val="ListBullet"/>
      </w:pPr>
      <w:r>
        <w:t>Rojo: evidencia literal que justifica la respuesta.</w:t>
      </w:r>
    </w:p>
    <w:p>
      <w:pPr>
        <w:pStyle w:val="ListBullet"/>
      </w:pPr>
      <w:r>
        <w:t>Las marcas se incorporan progresivamente; no se muestran todas al mismo tiempo en el primer contacto con el texto.</w:t>
      </w:r>
    </w:p>
    <w:p>
      <w:pPr>
        <w:pStyle w:val="ListBullet"/>
      </w:pPr>
      <w:r>
        <w:t>Cada marca debe tener una explicación breve y una pregunta guía.</w:t>
      </w:r>
    </w:p>
    <w:p>
      <w:pPr>
        <w:pStyle w:val="Heading2"/>
        <w:keepNext/>
      </w:pPr>
      <w:r>
        <w:t>18.4 · Práctica guiada que no deje brechas</w:t>
      </w:r>
    </w:p>
    <w:p>
      <w:r>
        <w:t>Después del ejemplo modelado, la Lección debe presentar un segundo fragmento visible. El estudiante debe realizar al menos una decisión antes de recibir la respuesta.</w:t>
      </w:r>
    </w:p>
    <w:p>
      <w:pPr>
        <w:pStyle w:val="ListBullet"/>
      </w:pPr>
      <w:r>
        <w:t>El segundo fragmento debe ser legible y suficiente para resolver la tarea.</w:t>
      </w:r>
    </w:p>
    <w:p>
      <w:pPr>
        <w:pStyle w:val="ListBullet"/>
      </w:pPr>
      <w:r>
        <w:t>La consigna, la pregunta y el espacio de análisis deben estar visibles; no se dejan instrucciones esenciales solo en las notas.</w:t>
      </w:r>
    </w:p>
    <w:p>
      <w:pPr>
        <w:pStyle w:val="ListBullet"/>
      </w:pPr>
      <w:r>
        <w:t>La respuesta no aparece inmediatamente: debe existir una pausa cognitiva real.</w:t>
      </w:r>
    </w:p>
    <w:p>
      <w:pPr>
        <w:pStyle w:val="ListBullet"/>
      </w:pPr>
      <w:r>
        <w:t>La retroalimentación debe señalar la evidencia correcta, explicar la inferencia y mostrar cómo mejorar una respuesta incompleta.</w:t>
      </w:r>
    </w:p>
    <w:p>
      <w:pPr>
        <w:pStyle w:val="ListBullet"/>
      </w:pPr>
      <w:r>
        <w:t>La transferencia final debe exigir una respuesta verificable, no solo una invitación genérica a aplicar lo aprendido.</w:t>
      </w:r>
    </w:p>
    <w:p>
      <w:pPr>
        <w:pStyle w:val="Heading2"/>
        <w:keepNext/>
      </w:pPr>
      <w:r>
        <w:t>18.5 · Alcance disciplinar controlado</w:t>
      </w:r>
    </w:p>
    <w:p>
      <w:r>
        <w:t>El mapa general puede mencionar conflicto, personajes, acciones, narrador y tiempo, pero solo se desarrollan profundamente los conceptos que el OA y la Ficha Maestra hayan priorizado. Cada concepto desarrollado necesita texto fuente, evidencia marcada, inferencia, respuesta y feedback.</w:t>
      </w:r>
    </w:p>
    <w:p>
      <w:r>
        <w:t>Queda prohibido ampliar la lección con conceptos nuevos que no hayan sido modelados. Si un concepto se menciona como orientación, debe quedar identificado como contenido de una lección posterior.</w:t>
      </w:r>
    </w:p>
    <w:p>
      <w:pPr>
        <w:pStyle w:val="Heading2"/>
        <w:keepNext/>
      </w:pPr>
      <w:r>
        <w:t>18.6 · Escala tipográfica congelada</w:t>
      </w:r>
    </w:p>
    <w:p>
      <w:r>
        <w:t>La jerarquía tipográfica vigente para video 16:9 usa título principal de 60–72 pt y subtítulo de 48 pt; la Matemática mantiene su escala propia.</w:t>
      </w:r>
    </w:p>
    <w:p>
      <w:pPr>
        <w:pStyle w:val="ListBullet"/>
      </w:pPr>
      <w:r>
        <w:t>Etiqueta superior: 18–22 px.</w:t>
      </w:r>
    </w:p>
    <w:p>
      <w:pPr>
        <w:pStyle w:val="ListBullet"/>
      </w:pPr>
      <w:r>
        <w:t>Título principal: 60–72 pt, máximo dos líneas.</w:t>
      </w:r>
    </w:p>
    <w:p>
      <w:pPr>
        <w:pStyle w:val="ListBullet"/>
      </w:pPr>
      <w:r>
        <w:t>Subtítulo: 48 pt exactos. Instrucción breve: 44–54 pt.</w:t>
      </w:r>
    </w:p>
    <w:p>
      <w:pPr>
        <w:pStyle w:val="ListBullet"/>
      </w:pPr>
      <w:r>
        <w:t>Cuerpo: 24–30 px.</w:t>
      </w:r>
    </w:p>
    <w:p>
      <w:pPr>
        <w:pStyle w:val="ListBullet"/>
      </w:pPr>
      <w:r>
        <w:t>Citas y evidencias: mínimo 24 px.</w:t>
      </w:r>
    </w:p>
    <w:p>
      <w:r>
        <w:t>Si el contenido no cabe, se acorta, se redistribuye, se separa en dos momentos o se ajusta la composición. Nunca se reduce arbitrariamente el título, subtítulo, cuerpo o evidencia para hacerlos caber.</w:t>
      </w:r>
    </w:p>
    <w:p>
      <w:pPr>
        <w:pStyle w:val="Heading2"/>
        <w:keepNext/>
      </w:pPr>
      <w:r>
        <w:t>18.7 · Puerta de QA específica para la lección</w:t>
      </w:r>
    </w:p>
    <w:p>
      <w:r>
        <w:t>Antes de entregar una Lección, se debe responder afirmativamente a todas estas preguntas:</w:t>
      </w:r>
    </w:p>
    <w:p>
      <w:pPr>
        <w:pStyle w:val="ListBullet"/>
      </w:pPr>
      <w:r>
        <w:t>[ ] ¿El texto que lee el protagonista aparece legible en pantalla?</w:t>
      </w:r>
    </w:p>
    <w:p>
      <w:pPr>
        <w:pStyle w:val="ListBullet"/>
      </w:pPr>
      <w:r>
        <w:t>[ ] ¿El mismo texto se mantiene mientras se extraen los conceptos?</w:t>
      </w:r>
    </w:p>
    <w:p>
      <w:pPr>
        <w:pStyle w:val="ListBullet"/>
      </w:pPr>
      <w:r>
        <w:t>[ ] ¿Cada concepto está vinculado a una palabra o frase marcada?</w:t>
      </w:r>
    </w:p>
    <w:p>
      <w:pPr>
        <w:pStyle w:val="ListBullet"/>
      </w:pPr>
      <w:r>
        <w:t>[ ] ¿El ejemplo muestra leer, localizar, interpretar, relacionar, construir y verificar?</w:t>
      </w:r>
    </w:p>
    <w:p>
      <w:pPr>
        <w:pStyle w:val="ListBullet"/>
      </w:pPr>
      <w:r>
        <w:t>[ ] ¿El segundo ejercicio está visible y deja una decisión al estudiante?</w:t>
      </w:r>
    </w:p>
    <w:p>
      <w:pPr>
        <w:pStyle w:val="ListBullet"/>
      </w:pPr>
      <w:r>
        <w:t>[ ] ¿La respuesta y el feedback aparecen después de la pausa cognitiva?</w:t>
      </w:r>
    </w:p>
    <w:p>
      <w:pPr>
        <w:pStyle w:val="ListBullet"/>
      </w:pPr>
      <w:r>
        <w:t>[ ] ¿Los títulos y subtítulos respetan la escala adaptativa y la jerarquía oficial del plan?</w:t>
      </w:r>
    </w:p>
    <w:p>
      <w:pPr>
        <w:pStyle w:val="ListBullet"/>
      </w:pPr>
      <w:r>
        <w:t>[ ] ¿Ninguna instrucción esencial queda solo en notas al orador?</w:t>
      </w:r>
    </w:p>
    <w:p>
      <w:pPr>
        <w:pStyle w:val="ListBullet"/>
      </w:pPr>
      <w:r>
        <w:t>[ ] ¿La revisión visual confirma contraste, legibilidad, personaje visible y ausencia de cortinas dominantes?</w:t>
      </w:r>
    </w:p>
    <w:p>
      <w:r>
        <w:t>Si una respuesta es negativa, la Lección vuelve a producción. El producto no puede avanzar a empaquetado ni a la siguiente etapa.</w:t>
      </w:r>
    </w:p>
    <w:p>
      <w:pPr>
        <w:pStyle w:val="Heading2"/>
        <w:keepNext/>
      </w:pPr>
      <w:r>
        <w:t>18.8 · Aplicación inmediata al piloto OA03</w:t>
      </w:r>
    </w:p>
    <w:p>
      <w:r>
        <w:t>El OA03 se corrige como piloto con la arquitectura vigente de 17 diapositivas. Se conserva el estilo anime, el protagonista, la continuidad narrativa y las imágenes base aprobadas; se reconstruye el núcleo didáctico para que el fragmento permanezca visible y el análisis avance mediante marcas progresivas. La corrección tipográfica se aplica a toda la presentación, no solo a las diapositivas con mayor problema.</w:t>
      </w:r>
    </w:p>
    <w:p>
      <w:r>
        <w:t>La aprobación del OA03 exige superar esta sección, las puertas curriculares, pedagógicas, visuales, técnicas y de entrega ya establecidas en el Plan Maestro. Solo después se congela el sistema para los OA restantes.</w:t>
      </w: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rPr>
          <w:sz w:val="21"/>
        </w:rPr>
        <w:t>Prevalece sobre cualquier regla anterior que permita un solo protagonista, párrafos dentro de la imagen, texto pequeño, overlays invasivos, GUION.txt, ZIP o exportaciones separadas.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rPr>
          <w:sz w:val="21"/>
        </w:rPr>
        <w:t>Título principal: mínimo 60–72 pt, en negrita, con alto contraste.</w:t>
      </w:r>
    </w:p>
    <w:p>
      <w:pPr>
        <w:pStyle w:val="ListBullet"/>
        <w:spacing w:after="60"/>
      </w:pPr>
      <w:r>
        <w:rPr>
          <w:sz w:val="21"/>
        </w:rPr>
        <w:t>Dato clave, etiqueta o instrucción corta: mínimo 44–54 pt, en negrita o seminegrita.</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rPr>
          <w:sz w:val="21"/>
        </w:rPr>
        <w:t>La composición debe resolverse primero con espacio negativo real dentro de la imagen.</w:t>
      </w:r>
    </w:p>
    <w:p>
      <w:pPr>
        <w:pStyle w:val="ListBullet"/>
        <w:spacing w:after="60"/>
      </w:pPr>
      <w:r>
        <w:rPr>
          <w:sz w:val="21"/>
        </w:rPr>
        <w:t>El overlay, si es necesario, debe ser local, corto, liviano y ajustado estrictamente al texto; nunca una franja de ancho completo, cortina, panel dominante, máscara oscura global o tarjeta que tape la escena.</w:t>
      </w:r>
    </w:p>
    <w:p>
      <w:pPr>
        <w:pStyle w:val="ListBullet"/>
        <w:spacing w:after="60"/>
      </w:pPr>
      <w:r>
        <w:rPr>
          <w:sz w:val="21"/>
        </w:rPr>
        <w:t>No cubrir rostros, cuerpos, acciones, objetos, mapas, fragmentos ni evidencias didácticas.</w:t>
      </w:r>
    </w:p>
    <w:p>
      <w:pPr>
        <w:pStyle w:val="ListBullet"/>
        <w:spacing w:after="60"/>
      </w:pPr>
      <w:r>
        <w:rPr>
          <w:sz w:val="21"/>
        </w:rPr>
        <w:t>Preferir texto directamente sobre el espacio negativo con contraste suficiente; usar una etiqueta local solo cuando la imagen no permita leer con seguridad.</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rPr>
          <w:sz w:val="21"/>
        </w:rPr>
        <w:t>Entregar únicamente un archivo PPTX por presentación.</w:t>
      </w:r>
    </w:p>
    <w:p>
      <w:pPr>
        <w:pStyle w:val="ListBullet"/>
        <w:spacing w:after="60"/>
      </w:pPr>
      <w:r>
        <w:rPr>
          <w:sz w:val="21"/>
        </w:rPr>
        <w:t>El PPTX debe contener: una imagen 16:9 por diapositiva, overlays adecuados y notas al orador completas.</w:t>
      </w:r>
    </w:p>
    <w:p>
      <w:pPr>
        <w:pStyle w:val="ListBullet"/>
        <w:spacing w:after="60"/>
      </w:pPr>
      <w:r>
        <w:rPr>
          <w:sz w:val="21"/>
        </w:rPr>
        <w:t>Las notas al orador contienen la explicación, la locución, las preguntas, la respuesta esperada cuando corresponda y la transición a la siguiente diapositiva.</w:t>
      </w:r>
    </w:p>
    <w:p>
      <w:pPr>
        <w:pStyle w:val="ListBullet"/>
        <w:spacing w:after="60"/>
      </w:pPr>
      <w:r>
        <w:rPr>
          <w:sz w:val="21"/>
        </w:rPr>
        <w:t>No generar ni exigir ZIP, GUION.txt, PNG sueltos, carpeta de imágenes, documento de guion ni archivos auxiliares, salvo solicitud posterior explícita.</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rPr>
          <w:sz w:val="21"/>
        </w:rPr>
        <w:t>Renderizar y revisar cada diapositiva a tamaño completo y en una simulación de ventana reducida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rPr>
          <w:sz w:val="21"/>
        </w:rPr>
        <w:t>Comprobar título, etiquetas, contraste, ausencia de colisiones, visibilidad de los dos protagonistas, visibilidad de la evidencia y presencia real de las notas al orador.</w:t>
      </w:r>
    </w:p>
    <w:p>
      <w:pPr>
        <w:pStyle w:val="ListBullet"/>
        <w:spacing w:after="60"/>
      </w:pPr>
      <w:r>
        <w:rPr>
          <w:sz w:val="21"/>
        </w:rPr>
        <w:t>Si la explicación requiere más texto del que admite la regla, conservar solo la señal visual mínima y pasar el resto a las notas y a la voz.</w:t>
      </w:r>
    </w:p>
    <w:p>
      <w:pPr>
        <w:pStyle w:val="Heading1"/>
      </w:pPr>
      <w:r>
        <w:t>ACTUALIZACIÓN OPERATIVA · OBJETIVO, TIEMPOS Y DISEÑO · 29-09-2026</w:t>
      </w:r>
    </w:p>
    <w:p>
      <w:pPr/>
      <w:r>
        <w:t>Esta actualización rige para todas las lecciones de la asignatura y prevalece sobre cualquier instrucción anterior incompatible, en especial las que indiquen una meta en la diapositiva 3, duración aproximada, un personaje único, subtítulos pequeños, paneles de fondo o entregas ZIP.</w:t>
      </w:r>
    </w:p>
    <w:p>
      <w:pPr/>
      <w:r>
        <w:t>Objetivo de la Lección: la primera diapositiva de la presentación explicativa declara, en una frase breve y comprensible, el objetivo específico de esa clase. Se combina con el puente narrativo, no añade una diapositiva, y se enuncia en las notas al orador.</w:t>
      </w:r>
    </w:p>
    <w:p>
      <w:pPr/>
      <w:r>
        <w:t>Duraciones exactas: Gancho = 60 segundos; presentación explicativa = 90 segundos. Las notas al orador contienen la voz en off completa. La duración se comprueba con el audio exportado; 130 palabras y 195 palabras son referencias de escritura a 130 palabras por minuto, no sustituyen la medición.</w:t>
      </w:r>
    </w:p>
    <w:p>
      <w:pPr/>
      <w:r>
        <w:t>Personajes: la joven y el joven aparecen juntos en todas las lecciones y presentaciones, participan en la acción y mantienen identidad visual. No se alternan como protagonistas únicos.</w:t>
      </w:r>
    </w:p>
    <w:p>
      <w:pPr/>
      <w:r>
        <w:t>Tipografía: títulos de 60–72 pt y datos breves de 44–54 pt. Subtítulos de Inglés, Lengua, Ciencias e Historia: 48 pt exactos. Matemática conserva su escala tipográfica propia y queda exenta del ajuste a 48 pt.</w:t>
      </w:r>
    </w:p>
    <w:p>
      <w:pPr/>
      <w:r>
        <w:t>Contraste: escoger el color del texto para cada escena. Se permiten colores vibrantes o neón si mantienen legibilidad y contraste; el subtítulo alcanza al menos 4,5:1. No usar recuadros, franjas, placas, fondos negros ni máscaras detrás del texto. Reubicarlo en espacio negativo y cambiar su color; una sombra muy suave solo si hace falta.</w:t>
      </w:r>
    </w:p>
    <w:p>
      <w:pPr/>
      <w:r>
        <w:t>Jerarquía: mantener título y subtítulo como un bloque, con 24–32 px de separación a 1920 × 1080. El subtítulo no se desplaza al tercio inferior ni queda mucho más abajo que el título.</w:t>
      </w:r>
    </w:p>
    <w:p>
      <w:pPr/>
      <w:r>
        <w:t>Overlays: usar únicamente texto breve, símbolos o notación matemática que expliquen la escena. Máximo 5–8 palabras visibles por diapositiva, salvo expresiones matemáticas o evidencia fuente imprescindible. Escribir las unidades con su nombre completo (por ejemplo, “metros”, no “m”), salvo que la abreviatura sea el contenido que se enseña. Sin párrafos ni desafío final en el video explicativo.</w:t>
      </w:r>
    </w:p>
    <w:p>
      <w:pPr/>
      <w:r>
        <w:t>Cierre: la explicación termina con una idea clave y una transición breve a la práctica posterior; no plantea un reto que el estudiante deba resolver en el video.</w:t>
      </w:r>
    </w:p>
    <w:p>
      <w:pPr/>
      <w:r>
        <w:t>Entrega: un solo PPTX por presentación, con una imagen 16:9 por diapositiva, overlays pertinentes y notas al orador completas. Las notas contienen únicamente voz narrable. No producir ZIP, GUION.txt, PNG sueltos ni archivos auxiliares.</w:t>
      </w:r>
    </w:p>
    <w:p>
      <w:pPr>
        <w:pStyle w:val="Heading1"/>
        <w:keepNext/>
        <w:pageBreakBefore/>
      </w:pPr>
      <w:r>
        <w:t>ADENDA OBLIGATORIA · TÍTULOS, SUBTÍTULOS E IMÁGENES COHERENTES · 29-09-2026</w:t>
      </w:r>
    </w:p>
    <w:p>
      <w:r>
        <w:t>Esta actualización se incorpora al plan vigente para evitar discrepancias entre la planificación, Antigravity, las diapositivas y la voz en off.</w:t>
      </w:r>
    </w:p>
    <w:p>
      <w:pPr>
        <w:pStyle w:val="Heading2"/>
        <w:keepNext/>
      </w:pPr>
      <w:r>
        <w:t>Aplicación y prioridad</w:t>
      </w:r>
    </w:p>
    <w:p>
      <w:pPr>
        <w:pStyle w:val="ListBullet"/>
        <w:spacing w:after="80"/>
      </w:pPr>
      <w:r>
        <w:t>Esta adenda es obligatoria para cada diapositiva de Gancho y Lección, sus prompts de imagen, el montaje del PPTX y sus notas al orador. Complementa este Plan Maestro y prevalece si una instrucción anterior o una salida de Antigravity la contradice o la deja ambigua. La persona que produce debe resolver autónomamente las decisiones rutinarias de diseño y detener la entrega si la coherencia didáctica no se puede demostrar.</w:t>
      </w:r>
    </w:p>
    <w:p>
      <w:pPr>
        <w:pStyle w:val="Heading2"/>
        <w:keepNext/>
      </w:pPr>
      <w:r>
        <w:t>Título y subtítulo obligatorios</w:t>
      </w:r>
    </w:p>
    <w:p>
      <w:pPr>
        <w:pStyle w:val="ListBullet"/>
        <w:spacing w:after="80"/>
      </w:pPr>
      <w:r>
        <w:t>Cada diapositiva lleva un título y un subtítulo visibles. El título nombra el concepto o momento que se enseña. El subtítulo expresa la idea concreta que la imagen y la explicación desarrollan. Ambos deben aportar información distinta, ser breves y mantener la jerarquía acordada: título de 60–72 pt; subtítulo de 48 pt exactos en Inglés, Lengua y Literatura, Ciencias e Historia. Matemática conserva la escala propia aprobada en su plan, sin reducir el subtítulo para hacerlo caber. Mantener ambos juntos, con 24–32 px de separación en un lienzo de 1920 × 1080. Si no caben, acortar el texto o recomponer la escena; no eliminar el subtítulo ni alejarlo del título.</w:t>
      </w:r>
    </w:p>
    <w:p>
      <w:pPr>
        <w:pStyle w:val="Heading2"/>
        <w:keepNext/>
      </w:pPr>
      <w:r>
        <w:t>Texto de un solo tono y contraste</w:t>
      </w:r>
    </w:p>
    <w:p>
      <w:pPr>
        <w:pStyle w:val="ListBullet"/>
        <w:spacing w:after="80"/>
      </w:pPr>
      <w:r>
        <w:t>Cada título y subtítulo se muestra en un color brillante, sólido y uniforme. No aplicar contorno de otro color, sombra, resplandor, degradado, doble tono ni caja de fondo. Elegir el color según el fondo real de esa diapositiva, no por alternancia automática. Evitar cian sobre azul y amarillo sobre zonas claras. Priorizar colores brillantes que contrasten claramente; si ninguno funciona, cambiar la ubicación o regenerar la imagen con espacio negativo útil. No tapar al protagonista ni la evidencia didáctica.</w:t>
      </w:r>
    </w:p>
    <w:p>
      <w:pPr>
        <w:pStyle w:val="Heading2"/>
        <w:keepNext/>
      </w:pPr>
      <w:r>
        <w:t>Coherencia entre imagen, título, subtítulo y notas</w:t>
      </w:r>
    </w:p>
    <w:p>
      <w:pPr>
        <w:pStyle w:val="ListBullet"/>
        <w:spacing w:after="80"/>
      </w:pPr>
      <w:r>
        <w:t>Antes de generar cada imagen, completar una ficha de diapositiva con: propósito didáctico, título, subtítulo, evidencia o acción que debe verse, prompt de imagen y foco de la nota al orador. Los cinco elementos deben comunicar la misma idea. La imagen no puede ser solo decorativa ni sugerir una interpretación distinta. La nota al orador puede ampliar lo visible, pero no debe corregir una imagen ambigua o equivocada. Si la escena no representa el título y el subtítulo de forma inmediata, se cambia la escena o se reformula el texto antes de montar el PPTX.</w:t>
      </w:r>
    </w:p>
    <w:p>
      <w:pPr>
        <w:pStyle w:val="Heading2"/>
        <w:keepNext/>
      </w:pPr>
      <w:r>
        <w:t>Diagramas exactos y ejemplos contextualizados</w:t>
      </w:r>
    </w:p>
    <w:p>
      <w:pPr>
        <w:pStyle w:val="ListBullet"/>
        <w:spacing w:after="80"/>
      </w:pPr>
      <w:r>
        <w:t>No confiar a una imagen generada la precisión de rectas, ejes, escalas, mapas, tablas, fórmulas, líneas de tiempo ni etiquetas que deban ser exactas. Construir esos elementos como diagramas editables y verificables en PowerPoint y usarlos sobre una escena que funcione como contexto. En Matemática, toda recta numérica debe mostrar el cero cuando sea relevante, valores con signo, intervalos iguales y dirección inequívoca. El cero es el punto de referencia matemático; un elemento del contexto solo representa cero si el guion declara explícitamente esa convención. La superficie del mar puede fijarse como nivel 0 m en un problema de profundidad, pero no sustituye por sí sola la recta numérica ni explica el cero.</w:t>
      </w:r>
    </w:p>
    <w:p>
      <w:pPr>
        <w:pStyle w:val="Heading2"/>
        <w:keepNext/>
      </w:pPr>
      <w:r>
        <w:t>Notas al orador</w:t>
      </w:r>
    </w:p>
    <w:p>
      <w:pPr>
        <w:pStyle w:val="ListBullet"/>
        <w:spacing w:after="80"/>
      </w:pPr>
      <w:r>
        <w:t>Las notas contienen la voz en off completa y explican con precisión lo que el estudiante ve. Deben nombrar la relación entre la evidencia, el título y el subtítulo sin introducir objetos o datos ausentes de la imagen. No describen instrucciones de producción ni dependen de texto pequeño que no se alcanzará a leer en el reproductor.</w:t>
      </w:r>
    </w:p>
    <w:p>
      <w:pPr>
        <w:pStyle w:val="Heading2"/>
        <w:keepNext/>
      </w:pPr>
      <w:r>
        <w:t>Control visual y puerta de aprobación</w:t>
      </w:r>
    </w:p>
    <w:p>
      <w:pPr>
        <w:pStyle w:val="ListBullet"/>
        <w:spacing w:after="80"/>
      </w:pPr>
      <w:r>
        <w:t>Revisar cada diapositiva a tamaño completo y como miniatura de aproximadamente 380 px de ancho. Confirmar que título y subtítulo se distinguen, son legibles y contrastan; que la imagen concuerda con ambos; y que las notas explican la misma idea. En Matemática, verificar de forma independiente cada valor, signo, unidad, escala, cero, marca y flecha del diagrama. Si una verificación falla, corregir la imagen, el texto o el diagrama y repetir la revisión del conjunto. No entregar una presentación con una diapositiva fallida.</w:t>
      </w:r>
    </w:p>
    <w:p>
      <w:pPr>
        <w:pStyle w:val="Heading2"/>
        <w:keepNext/>
      </w:pPr>
      <w:r>
        <w:t>Autonomía frente a prompts incompletos</w:t>
      </w:r>
    </w:p>
    <w:p>
      <w:pPr>
        <w:pStyle w:val="ListBullet"/>
        <w:spacing w:after="80"/>
      </w:pPr>
      <w:r>
        <w:t>Si Antigravity no define con claridad el subtítulo, el encuadre, la representación visual o la relación con la narración, aplicar estas reglas y el plan disciplinar vigente sin esperar una indicación adicional. Resolver la composición y el color con criterio profesional, pero no inventar hechos ni cambiar el objetivo curricular, la solución matemática o el contenido aprobado. Ante una contradicción curricular real, señalarla antes de producir; ante una decisión gráfica rutinaria, resolverla y continuar.</w:t>
      </w:r>
    </w:p>
    <w:p>
      <w:pPr>
        <w:pStyle w:val="Heading1"/>
        <w:keepNext/>
      </w:pPr>
      <w:r>
        <w:rPr>
          <w:color w:val="000000"/>
        </w:rPr>
        <w:t>ACTUALIZACIÓN OBLIGATORIA DEL 3 DE OCTUBRE DE 2026</w:t>
      </w:r>
    </w:p>
    <w:p>
      <w:pPr>
        <w:pStyle w:val="Heading2"/>
        <w:keepNext/>
      </w:pPr>
      <w:r>
        <w:rPr>
          <w:color w:val="000000"/>
        </w:rPr>
        <w:t>Coherencia curricular y trazabilidad de lecciones y presentaciones</w:t>
      </w:r>
    </w:p>
    <w:p>
      <w:pPr>
        <w:keepLines/>
        <w:spacing w:after="120"/>
      </w:pPr>
      <w:r>
        <w:t>Esta actualización establece una comprobación obligatoria desde el OA oficial hasta la lección completa y, luego, desde la lección aprobada hasta el PPTX. Se aplica junto con la secuencia didáctica de esta asignatura. La cantidad de clases y diapositivas se toma del plan vigente para cada OA.</w:t>
      </w:r>
    </w:p>
    <w:p>
      <w:pPr>
        <w:pStyle w:val="Heading2"/>
        <w:keepNext/>
      </w:pPr>
      <w:r>
        <w:rPr>
          <w:color w:val="000000"/>
        </w:rPr>
        <w:t>Fuentes y responsables de la revisión</w:t>
      </w:r>
    </w:p>
    <w:p>
      <w:pPr>
        <w:keepLines/>
        <w:spacing w:after="120"/>
      </w:pPr>
      <w:r>
        <w:t>El OA y el temario oficial delimitan los aprendizajes. Este Plan Maestro define cómo se enseñan en la asignatura. La versión final de la lección completa fija el contenido, los ejemplos, los datos y los ejercicios que puede representar la presentación. El prompt orienta la producción visual y debe derivarse de esa lección.</w:t>
      </w:r>
    </w:p>
    <w:p>
      <w:pPr>
        <w:pStyle w:val="ListBullet"/>
        <w:keepLines/>
        <w:spacing w:after="80"/>
      </w:pPr>
      <w:r>
        <w:t>El agente Auditor de Antigravity revisa el OA completo, el flujo de sus lecciones y los prompts asociados frente a este plan y las fuentes curriculares. Comprueba objetivos, progresión, continuidad, cobertura y coherencia de los prompts con la lección. Su revisión no incluye los PPTX finales.</w:t>
      </w:r>
    </w:p>
    <w:p>
      <w:pPr>
        <w:pStyle w:val="ListBullet"/>
        <w:keepLines/>
        <w:spacing w:after="80"/>
      </w:pPr>
      <w:r>
        <w:t>Antes de diseñar las diapositivas, Codex audita de forma independiente las lecciones que recibe frente a este Plan Maestro. La afirmación de que un documento fue alineado no reemplaza la comparación de sus contenidos. Si encuentra una brecha, informa la ubicación, la evidencia y la corrección requerida para que Antigravity actualice la fuente.</w:t>
      </w:r>
    </w:p>
    <w:p>
      <w:pPr>
        <w:pStyle w:val="ListBullet"/>
        <w:keepLines/>
        <w:spacing w:after="80"/>
      </w:pPr>
      <w:r>
        <w:t>Una vez validada la lección, Codex crea el PPTX y verifica cada diapositiva y sus notas al orador frente a la lección completa. Codex es responsable de la fidelidad del PPTX; Antigravity no genera ni audita las presentaciones finales.</w:t>
      </w:r>
    </w:p>
    <w:p>
      <w:pPr>
        <w:pStyle w:val="Heading2"/>
        <w:keepNext/>
      </w:pPr>
      <w:r>
        <w:rPr>
          <w:color w:val="000000"/>
        </w:rPr>
        <w:t>Auditoría del flujo de las lecciones</w:t>
      </w:r>
    </w:p>
    <w:p>
      <w:pPr>
        <w:pStyle w:val="ListBullet"/>
        <w:keepLines/>
        <w:spacing w:after="80"/>
      </w:pPr>
      <w:r>
        <w:t>Cada objetivo de lección debe corresponder al OA y coincidir con los conceptos enseñados, los ejemplos modelados y las actividades que permiten comprobar el aprendizaje.</w:t>
      </w:r>
    </w:p>
    <w:p>
      <w:pPr>
        <w:pStyle w:val="ListBullet"/>
        <w:keepLines/>
        <w:spacing w:after="80"/>
      </w:pPr>
      <w:r>
        <w:t>La secuencia respeta los conocimientos previos y desarrolla cada idea antes de exigir que el estudiante la use. Se revisan saltos conceptuales, contradicciones, omisiones, repeticiones innecesarias y contenidos fuera del objetivo.</w:t>
      </w:r>
    </w:p>
    <w:p>
      <w:pPr>
        <w:pStyle w:val="ListBullet"/>
        <w:keepLines/>
        <w:spacing w:after="80"/>
      </w:pPr>
      <w:r>
        <w:t>El recorrido completo del OA conserva una progresión adecuada al número de clases previsto en su plan. Cada clase aporta al aprendizaje del OA y mantiene las continuidades que el plan establece.</w:t>
      </w:r>
    </w:p>
    <w:p>
      <w:pPr>
        <w:pStyle w:val="ListBullet"/>
        <w:keepLines/>
        <w:spacing w:after="80"/>
      </w:pPr>
      <w:r>
        <w:t>El Gancho prepara la situación de aprendizaje y la Lección desarrolla el contenido correspondiente. La explicación debe modelar lo necesario para resolver las actividades posteriores.</w:t>
      </w:r>
    </w:p>
    <w:p>
      <w:pPr>
        <w:pStyle w:val="ListBullet"/>
        <w:keepLines/>
        <w:spacing w:after="80"/>
      </w:pPr>
      <w:r>
        <w:t>La revisión posterior al video, cuando exista, utiliza los mismos ejercicios de la lección completa, con los mismos datos, contexto e intencionalidad. No se incorporan ejercicios nuevos ni variantes inventadas.</w:t>
      </w:r>
    </w:p>
    <w:p>
      <w:pPr>
        <w:pStyle w:val="ListBullet"/>
        <w:keepLines/>
        <w:spacing w:after="80"/>
      </w:pPr>
      <w:r>
        <w:t>El cierre de la explicación enlaza con la práctica que ya ofrece la plataforma. No agrega un desafío independiente si la práctica viene a continuación.</w:t>
      </w:r>
    </w:p>
    <w:p>
      <w:pPr>
        <w:pStyle w:val="Heading2"/>
        <w:keepNext/>
      </w:pPr>
      <w:r>
        <w:rPr>
          <w:color w:val="000000"/>
        </w:rPr>
        <w:t>Fidelidad y trazabilidad del PPTX</w:t>
      </w:r>
    </w:p>
    <w:p>
      <w:pPr>
        <w:keepLines/>
        <w:spacing w:after="120"/>
      </w:pPr>
      <w:r>
        <w:t>Antes de generar imágenes, Codex completa una ficha interna por cada diapositiva prevista. Cada registro vincula número y tipo de lámina con la ubicación exacta en la clase, función didáctica, texto y datos visibles, acción visual, overlays editables, nota al orador y estados de revisión curricular, disciplinar, visual y técnica. La ficha no se entrega como archivo independiente.</w:t>
      </w:r>
    </w:p>
    <w:p>
      <w:pPr>
        <w:pStyle w:val="ListBullet"/>
      </w:pPr>
      <w:r>
        <w:t>El registro de fuentes de cada OA identifica el nombre y la versión o fecha del archivo vigente con la clase completa y sus prompts, este Plan Maestro disciplinar, el Plan Maestro para Presentaciones de Gancho y Explicación 7B, versión 1.4, actualizada el 2026-10-03 a las 15:38 · America/Santiago (UTC−03:00). y el recurso aprobado de marca. Si existen copias incompatibles o una contradicción en la clase, se detiene el PPTX afectado y se reportan archivo, ubicación, evidencia y resolución requerida.</w:t>
      </w:r>
    </w:p>
    <w:p>
      <w:pPr>
        <w:pStyle w:val="ListBullet"/>
        <w:keepLines/>
        <w:spacing w:after="80"/>
      </w:pPr>
      <w:r>
        <w:t>El objetivo, el título, el subtítulo, la imagen, los overlays y la nota al orador de cada lámina deben comunicar la misma idea y corresponder al momento didáctico de la lección.</w:t>
      </w:r>
    </w:p>
    <w:p>
      <w:pPr>
        <w:pStyle w:val="ListBullet"/>
        <w:keepLines/>
        <w:spacing w:after="80"/>
      </w:pPr>
      <w:r>
        <w:t>Se conservan el significado, los hechos, los ejemplos, los datos, los procedimientos y las respuestas de la lección. El texto visible puede abreviarse por legibilidad solo cuando mantiene íntegro el significado y no transforma la actividad.</w:t>
      </w:r>
    </w:p>
    <w:p>
      <w:pPr>
        <w:pStyle w:val="ListBullet"/>
        <w:keepLines/>
        <w:spacing w:after="80"/>
      </w:pPr>
      <w:r>
        <w:t>Si una diapositiva muestra o revisa un ejercicio de la lección, debe ser ese mismo ejercicio y conservar sus datos, contexto y respuesta. Cada contenido debe poder rastrearse a la lección aprobada.</w:t>
      </w:r>
    </w:p>
    <w:p>
      <w:pPr>
        <w:pStyle w:val="ListBullet"/>
        <w:keepLines/>
        <w:spacing w:after="80"/>
      </w:pPr>
      <w:r>
        <w:t>La primera diapositiva de Explicación presenta el objetivo de esa lección según la regla vigente. La secuencia y cantidad de láminas siguen el plan del OA y de la asignatura, sin imponer un número universal.</w:t>
      </w:r>
    </w:p>
    <w:p>
      <w:pPr>
        <w:pStyle w:val="ListBullet"/>
        <w:keepLines/>
        <w:spacing w:after="80"/>
      </w:pPr>
      <w:r>
        <w:t>Las notas al orador desarrollan lo que la diapositiva muestra y lo que la lección enseña. No agregan datos, ejemplos, preguntas o conclusiones que no estén sustentados por la fuente aprobada.</w:t>
      </w:r>
    </w:p>
    <w:p>
      <w:pPr>
        <w:pStyle w:val="Heading2"/>
        <w:keepNext/>
      </w:pPr>
      <w:r>
        <w:rPr>
          <w:color w:val="000000"/>
        </w:rPr>
        <w:t>Control disciplinar de esta asignatura</w:t>
      </w:r>
    </w:p>
    <w:p>
      <w:pPr>
        <w:keepLines/>
        <w:spacing w:after="120"/>
      </w:pPr>
      <w:r>
        <w:t>En Lengua y Literatura, comprobar que el fragmento leído, las marcas de evidencia, las inferencias, los conceptos y las respuestas corresponden a la lección; toda interpretación debe apoyarse en el texto y el contexto efectivamente trabajados.</w:t>
      </w:r>
    </w:p>
    <w:p>
      <w:pPr>
        <w:pStyle w:val="Heading2"/>
        <w:keepNext/>
      </w:pPr>
      <w:r>
        <w:rPr>
          <w:color w:val="000000"/>
        </w:rPr>
        <w:t>Hallazgos y criterio de aprobación</w:t>
      </w:r>
    </w:p>
    <w:p>
      <w:pPr>
        <w:pStyle w:val="ListBullet"/>
        <w:keepNext/>
        <w:keepLines/>
        <w:spacing w:after="80"/>
      </w:pPr>
      <w:r>
        <w:t>Cada hallazgo identifica el archivo y su versión, el OA y la clase o diapositiva afectada, la ubicación de la evidencia, la discrepancia y la corrección sugerida. El informe usa los estados Aprobado, Aprobado con observaciones, Requiere corrección o No evaluable por falta de fuentes.</w:t>
      </w:r>
    </w:p>
    <w:p>
      <w:pPr>
        <w:pStyle w:val="ListBullet"/>
        <w:keepNext/>
        <w:keepLines/>
        <w:spacing w:after="80"/>
      </w:pPr>
      <w:r>
        <w:t>Una contradicción con el OA, el objetivo, el procedimiento modelado, los datos o los ejercicios impide aprobar el material afectado. La fuente se corrige y se vuelve a revisar antes de producir su presentación.</w:t>
      </w:r>
    </w:p>
    <w:p>
      <w:pPr>
        <w:pStyle w:val="ListBullet"/>
        <w:keepNext/>
        <w:keepLines/>
        <w:spacing w:after="80"/>
      </w:pPr>
      <w:r>
        <w:t>Los hallazgos se asignan por causa y alcance. Las brechas de OA, secuencia, contenido, ejemplo, ejercicio o prompt se documentan con ubicación y evidencia y se devuelven a Antigravity para corregir la fuente y alimentar el agente auditor. Los defectos de composición, imágenes, tipografía, contraste, overlays, notas, montaje o render del PPTX son responsabilidad de Codex y se corrigen en su sistema de producción. Solo la causa comprobada en la fuente se remite a Antigravity; Antigravity no genera ni audita los PPTX finales. Cada caso registra su alcance universal, disciplinar o del OA y no se eleva a regla general sin evidencia suficiente y validación.</w:t>
      </w:r>
    </w:p>
    <w:p>
      <w:pPr>
        <w:pStyle w:val="ListBullet"/>
      </w:pPr>
      <w:r>
        <w:t>Antes de iniciar nuevos OA, comprobar los casos de regresión cuyo alcance aplique. Si falla un control, corregir el componente afectado según su responsable y repetir la comprobación antes de aprobar.</w:t>
      </w:r>
    </w:p>
    <w:p>
      <w:pPr>
        <w:pStyle w:val="ListBullet"/>
        <w:keepLines/>
        <w:spacing w:after="80"/>
      </w:pPr>
      <w:r>
        <w:t>La comprobación de trazabilidad no agrega archivos al entregable. Codex mantiene el formato establecido en este plan: un PPTX con imágenes, overlays y notas al orador.</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B6777"/>
        <w:sz w:val="17"/>
      </w:rPr>
      <w:t xml:space="preserve">Versión 2.5 · 7° Básico · Página </w:t>
    </w:r>
    <w:r>
      <w:rPr>
        <w:rFonts w:ascii="Calibri" w:hAnsi="Calibri"/>
        <w:b w:val="0"/>
        <w:i w:val="0"/>
        <w:color w:val="5B6777"/>
        <w:sz w:val="18"/>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i w:val="0"/>
        <w:color w:val="5B6777"/>
        <w:sz w:val="17"/>
      </w:rPr>
      <w:t>ESTUDIOSIMPLE · PLAN MAESTRO · LENGUA Y LITERATURA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9" w:lineRule="auto"/>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3" w:lineRule="auto"/>
      <w:ind w:left="1080" w:hanging="3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Plan_Maestro_EstudioSimple_Lengua_Literatura_7B_v2.6_2026-10-03_1538_UTC-0300</dc:title>
  <dc:subject>Plan maestro disciplinar de EstudioSimple con flujo de producción audiovisual trazable.</dc:subject>
  <dc:creator>python-docx</dc:creator>
  <cp:keywords/>
  <dc:description>Actualización 2026-10-03 15:38 (America/Santiago, UTC−03:00); registro horario de versión.</dc:description>
  <cp:lastModifiedBy/>
  <cp:revision>1</cp:revision>
  <dcterms:created xsi:type="dcterms:W3CDTF">2013-12-23T23:15:00Z</dcterms:created>
  <dcterms:modified xsi:type="dcterms:W3CDTF">2013-12-23T23:15:00Z</dcterms:modified>
  <cp:category/>
</cp:coreProperties>
</file>