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MAT</w:t>
      </w:r>
    </w:p>
    <w:p>
      <w:pPr>
        <w:spacing w:before="0" w:after="80" w:line="240" w:lineRule="auto"/>
      </w:pPr>
      <w:r>
        <w:rPr>
          <w:rFonts w:ascii="Calibri" w:hAnsi="Calibri"/>
          <w:b/>
          <w:i w:val="0"/>
          <w:color w:val="0B2545"/>
          <w:sz w:val="52"/>
        </w:rPr>
        <w:t>PLAN MAESTRO · MATEMÁTICA</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MAT.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MAT</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1.4 · 2026-10-03 15:38 UTC−03:00</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Matemática.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r>
              <w:t>Diapositiva 1: puente con el Gancho y objetivo; siguientes: explicación.</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r>
              <w:t>Aplicación modelada</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r>
              <w:t>Ejemplo de transferencia y error frecuente</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r>
              <w:t>Síntesis y puente</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t>En todas las lecciones participan siempre la joven y el joven; ambos conservan su identidad visual y una función narrativa o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Heading1"/>
        <w:keepNext/>
      </w:pPr>
      <w:r>
        <w:t>5. Notas al orador y voz en off</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r>
              <w:t>Notas al orador</w:t>
            </w:r>
          </w:p>
        </w:tc>
        <w:tc>
          <w:tcPr>
            <w:tcW w:type="dxa" w:w="4625"/>
            <w:shd w:fill="F7FAFC"/>
          </w:tcPr>
          <w:p>
            <w:r>
              <w:t>Voz en off completa, integrada en cada diapositiva del PPTX.</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t>Entrega: un PPTX por presentación, sin archivos separados.</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r>
              <w:t>Presentación</w:t>
            </w:r>
          </w:p>
        </w:tc>
        <w:tc>
          <w:tcPr>
            <w:tcW w:type="dxa" w:w="4625"/>
            <w:tcMar>
              <w:top w:w="80" w:type="dxa"/>
              <w:start w:w="120" w:type="dxa"/>
              <w:bottom w:w="80" w:type="dxa"/>
              <w:end w:w="120" w:type="dxa"/>
            </w:tcMar>
            <w:vAlign w:val="center"/>
            <w:shd w:fill="E8EEF5"/>
          </w:tcPr>
          <w:p>
            <w:r>
              <w:t>Nombre del PPTX</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r>
              <w:t>110-7-[SIGLA]-OA[NN]-GANCHO.pptx</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r>
              <w:t>110-7-[SIGLA]-OA[NN]-LECCION.pptx</w:t>
            </w:r>
          </w:p>
        </w:tc>
      </w:tr>
    </w:tbl>
    <w:p>
      <w:pPr>
        <w:spacing w:after="40"/>
      </w:pPr>
    </w:p>
    <w:p>
      <w:pPr>
        <w:spacing w:before="0" w:after="120" w:line="300" w:lineRule="auto"/>
      </w:pPr>
      <w:r>
        <w:t>Las notas al orador de cada diapositiva contienen la voz en off completa y se revisan dentro del PPTX.</w:t>
      </w:r>
    </w:p>
    <w:p>
      <w:pPr>
        <w:pStyle w:val="Heading1"/>
        <w:keepNext/>
      </w:pPr>
      <w:r>
        <w:rPr>
          <w:rFonts w:ascii="Calibri" w:hAnsi="Calibri"/>
          <w:b/>
          <w:i w:val="0"/>
          <w:color w:val="2E74B5"/>
          <w:sz w:val="32"/>
        </w:rPr>
        <w:t>8. Flujo de trabajo obligatorio</w:t>
      </w:r>
    </w:p>
    <w:p>
      <w:pPr>
        <w:keepLines/>
        <w:spacing w:before="0" w:after="60" w:line="300" w:lineRule="auto"/>
        <w:ind w:left="403" w:hanging="403"/>
      </w:pPr>
      <w:r>
        <w:t>1. Extraer el OA, sus indicadores y el alcance desde el temario oficial.</w:t>
      </w:r>
    </w:p>
    <w:p>
      <w:pPr>
        <w:keepLines/>
        <w:spacing w:before="0" w:after="60" w:line="300" w:lineRule="auto"/>
        <w:ind w:left="403" w:hanging="403"/>
      </w:pPr>
      <w:r>
        <w:t>2. Completar la Ficha Maestra de la Lección.</w:t>
      </w:r>
    </w:p>
    <w:p>
      <w:pPr>
        <w:keepLines/>
        <w:spacing w:before="0" w:after="60" w:line="300" w:lineRule="auto"/>
        <w:ind w:left="403" w:hanging="403"/>
      </w:pPr>
      <w:r>
        <w:t>3. Diseñar el Gancho de 60 segundos y su pregunta de apertura.</w:t>
      </w:r>
    </w:p>
    <w:p>
      <w:pPr>
        <w:keepLines/>
        <w:spacing w:before="0" w:after="60" w:line="300" w:lineRule="auto"/>
        <w:ind w:left="403" w:hanging="403"/>
      </w:pPr>
      <w:r>
        <w:t>4. Definir el objetivo específico y ubicarlo en la diapositiva 1 explicativa.</w:t>
      </w:r>
    </w:p>
    <w:p>
      <w:pPr>
        <w:keepLines/>
        <w:spacing w:before="0" w:after="60" w:line="300" w:lineRule="auto"/>
        <w:ind w:left="403" w:hanging="403"/>
      </w:pPr>
      <w:r>
        <w:t>5. Preparar la explicación de 90 segundos con un ejemplo modelado y sin desafío final.</w:t>
      </w:r>
    </w:p>
    <w:p>
      <w:pPr>
        <w:keepLines/>
        <w:spacing w:before="0" w:after="60" w:line="300" w:lineRule="auto"/>
        <w:ind w:left="403" w:hanging="403"/>
      </w:pPr>
      <w:r>
        <w:t>6. Montar un único PPTX por presentación, con imagen, texto o matemática y notas de voz en off.</w:t>
      </w:r>
    </w:p>
    <w:p>
      <w:pPr>
        <w:keepLines/>
        <w:spacing w:before="0" w:after="60" w:line="300" w:lineRule="auto"/>
        <w:ind w:left="403" w:hanging="403"/>
      </w:pPr>
      <w:r>
        <w:t>7. Revisar contenido, duración exacta, subtítulo, contraste y presencia de ambos protagonistas.</w:t>
      </w:r>
    </w:p>
    <w:p>
      <w:pPr>
        <w:keepLines/>
        <w:spacing w:before="0" w:after="60" w:line="300" w:lineRule="auto"/>
        <w:ind w:left="403" w:hanging="403"/>
      </w:pPr>
      <w:r>
        <w:t>8. Abrir, renderizar y guardar el PPTX validado con sus notas.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Matemática debe convertir una situación contextualizada en una representación, aplicar un procedimiento verificable y explicar qué significa el resultado dentro del contexto. La Lección no puede saltar del enunciado al número final.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repetir el procedimiento en otro problema y explicar qué representa cada número, operación, unidad o resultado?</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matemático siempre se construye como una resolución visible. El estudiante observa el enunciado, identifica datos e incógnita, elige una representación, ejecuta las operaciones en orden, comprueba y vuelve al contexto.</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Comprender la situación y distinguir datos, incógnita y pregunta.</w:t>
            </w:r>
          </w:p>
        </w:tc>
        <w:tc>
          <w:tcPr>
            <w:tcW w:type="dxa" w:w="4210"/>
            <w:shd w:fill="F7FAFC"/>
          </w:tcPr>
          <w:p>
            <w:pPr>
              <w:spacing w:before="0" w:after="0" w:line="276" w:lineRule="auto"/>
            </w:pPr>
            <w:r>
              <w:rPr>
                <w:rFonts w:ascii="Calibri" w:hAnsi="Calibri"/>
                <w:b w:val="0"/>
                <w:i w:val="0"/>
                <w:color w:val="2D343C"/>
                <w:sz w:val="18"/>
              </w:rPr>
              <w:t>Enunciado breve con datos destacados y una pregunta concreta.</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Elegir modelo: dibujo, tabla, expresión, ecuación, proporción o fórmula.</w:t>
            </w:r>
          </w:p>
        </w:tc>
        <w:tc>
          <w:tcPr>
            <w:tcW w:type="dxa" w:w="4210"/>
            <w:shd w:fill="FFFFFF"/>
          </w:tcPr>
          <w:p>
            <w:pPr>
              <w:spacing w:before="0" w:after="0" w:line="276" w:lineRule="auto"/>
            </w:pPr>
            <w:r>
              <w:rPr>
                <w:rFonts w:ascii="Calibri" w:hAnsi="Calibri"/>
                <w:b w:val="0"/>
                <w:i w:val="0"/>
                <w:color w:val="2D343C"/>
                <w:sz w:val="18"/>
              </w:rPr>
              <w:t>Se explica por qué ese modelo representa la situación.</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Resolver una operación o transformación por vez.</w:t>
            </w:r>
          </w:p>
        </w:tc>
        <w:tc>
          <w:tcPr>
            <w:tcW w:type="dxa" w:w="4210"/>
            <w:shd w:fill="F7FAFC"/>
          </w:tcPr>
          <w:p>
            <w:pPr>
              <w:spacing w:before="0" w:after="0" w:line="276" w:lineRule="auto"/>
            </w:pPr>
            <w:r>
              <w:rPr>
                <w:rFonts w:ascii="Calibri" w:hAnsi="Calibri"/>
                <w:b w:val="0"/>
                <w:i w:val="0"/>
                <w:color w:val="2D343C"/>
                <w:sz w:val="18"/>
              </w:rPr>
              <w:t>Cada paso visible, con igualdad, unidades y operación inversa cuando corresponda.</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Comprobar el resultado.</w:t>
            </w:r>
          </w:p>
        </w:tc>
        <w:tc>
          <w:tcPr>
            <w:tcW w:type="dxa" w:w="4210"/>
            <w:shd w:fill="FFFFFF"/>
          </w:tcPr>
          <w:p>
            <w:pPr>
              <w:spacing w:before="0" w:after="0" w:line="276" w:lineRule="auto"/>
            </w:pPr>
            <w:r>
              <w:rPr>
                <w:rFonts w:ascii="Calibri" w:hAnsi="Calibri"/>
                <w:b w:val="0"/>
                <w:i w:val="0"/>
                <w:color w:val="2D343C"/>
                <w:sz w:val="18"/>
              </w:rPr>
              <w:t>Sustitución, estimación, operación inversa o comparación con el contexto.</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Interpretar y comunicar.</w:t>
            </w:r>
          </w:p>
        </w:tc>
        <w:tc>
          <w:tcPr>
            <w:tcW w:type="dxa" w:w="4210"/>
            <w:shd w:fill="F7FAFC"/>
          </w:tcPr>
          <w:p>
            <w:pPr>
              <w:spacing w:before="0" w:after="0" w:line="276" w:lineRule="auto"/>
            </w:pPr>
            <w:r>
              <w:rPr>
                <w:rFonts w:ascii="Calibri" w:hAnsi="Calibri"/>
                <w:b w:val="0"/>
                <w:i w:val="0"/>
                <w:color w:val="2D343C"/>
                <w:sz w:val="18"/>
              </w:rPr>
              <w:t>Respuesta completa con unidad y decisión contextual.</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El segundo problema conserva la estructura, pero cambia los datos. Se resuelve con casillas o pasos incompletos.</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corrigen errores de operación, modelo, unidad y significado; no basta con marcar correcto/incorrecto.</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cambia el contexto o la representación, manteniendo el concepto matemático central.</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Aplicar una fórmula sin explicar qué representa cada variable.</w:t>
      </w:r>
    </w:p>
    <w:p>
      <w:pPr>
        <w:pStyle w:val="ListBullet"/>
        <w:spacing w:before="0" w:after="80" w:line="300" w:lineRule="auto"/>
      </w:pPr>
      <w:r>
        <w:rPr>
          <w:rFonts w:ascii="Calibri" w:hAnsi="Calibri"/>
          <w:b w:val="0"/>
          <w:i w:val="0"/>
          <w:color w:val="232A32"/>
          <w:sz w:val="21"/>
        </w:rPr>
        <w:t>Mostrar solo operaciones sin interpretar el resultado.</w:t>
      </w:r>
    </w:p>
    <w:p>
      <w:pPr>
        <w:pStyle w:val="ListBullet"/>
        <w:spacing w:before="0" w:after="80" w:line="300" w:lineRule="auto"/>
      </w:pPr>
      <w:r>
        <w:rPr>
          <w:rFonts w:ascii="Calibri" w:hAnsi="Calibri"/>
          <w:b w:val="0"/>
          <w:i w:val="0"/>
          <w:color w:val="232A32"/>
          <w:sz w:val="21"/>
        </w:rPr>
        <w:t>Confundir descuento con precio final, perímetro con área, razón con diferencia u otras parejas conceptuales.</w:t>
      </w:r>
    </w:p>
    <w:p>
      <w:pPr>
        <w:pStyle w:val="ListBullet"/>
        <w:spacing w:before="0" w:after="80" w:line="300" w:lineRule="auto"/>
      </w:pPr>
      <w:r>
        <w:rPr>
          <w:rFonts w:ascii="Calibri" w:hAnsi="Calibri"/>
          <w:b w:val="0"/>
          <w:i w:val="0"/>
          <w:color w:val="232A32"/>
          <w:sz w:val="21"/>
        </w:rPr>
        <w:t>Saltar pasos porque parecen obvios para un adulto.</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estudiante puede señalar dónde empieza y termina cada paso.</w:t>
      </w:r>
    </w:p>
    <w:p>
      <w:pPr>
        <w:pStyle w:val="ListBullet"/>
        <w:spacing w:before="0" w:after="80" w:line="300" w:lineRule="auto"/>
      </w:pPr>
      <w:r>
        <w:rPr>
          <w:rFonts w:ascii="Calibri" w:hAnsi="Calibri"/>
          <w:b w:val="0"/>
          <w:i w:val="0"/>
          <w:color w:val="232A32"/>
          <w:sz w:val="21"/>
        </w:rPr>
        <w:t>El ejemplo incluye una comprobación real.</w:t>
      </w:r>
    </w:p>
    <w:p>
      <w:pPr>
        <w:pStyle w:val="ListBullet"/>
        <w:spacing w:before="0" w:after="80" w:line="300" w:lineRule="auto"/>
      </w:pPr>
      <w:r>
        <w:rPr>
          <w:rFonts w:ascii="Calibri" w:hAnsi="Calibri"/>
          <w:b w:val="0"/>
          <w:i w:val="0"/>
          <w:color w:val="232A32"/>
          <w:sz w:val="21"/>
        </w:rPr>
        <w:t>Las unidades y el significado contextual aparecen en la respuesta.</w:t>
      </w:r>
    </w:p>
    <w:p>
      <w:pPr>
        <w:pStyle w:val="ListBullet"/>
        <w:spacing w:before="0" w:after="80" w:line="300" w:lineRule="auto"/>
      </w:pPr>
      <w:r>
        <w:rPr>
          <w:rFonts w:ascii="Calibri" w:hAnsi="Calibri"/>
          <w:b w:val="0"/>
          <w:i w:val="0"/>
          <w:color w:val="232A32"/>
          <w:sz w:val="21"/>
        </w:rPr>
        <w:t>La práctica nueva exige el mismo razonamiento, no una copia mecánica.</w:t>
      </w:r>
    </w:p>
    <w:p>
      <w:pPr>
        <w:pStyle w:val="Heading1"/>
        <w:keepNext/>
      </w:pPr>
      <w:r>
        <w:rPr>
          <w:rFonts w:ascii="Calibri" w:hAnsi="Calibri"/>
          <w:b/>
          <w:i w:val="0"/>
          <w:color w:val="2E74B5"/>
          <w:sz w:val="32"/>
        </w:rPr>
        <w:t>14. Criterio de cierre del OA</w:t>
      </w:r>
    </w:p>
    <w:p>
      <w:pPr>
        <w:spacing w:before="0" w:after="12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FÓRMULA DE APROBACIÓN  </w:t>
            </w:r>
            <w:r>
              <w:rPr>
                <w:rFonts w:ascii="Calibri" w:hAnsi="Calibri"/>
                <w:b w:val="0"/>
                <w:i w:val="0"/>
                <w:color w:val="2D343C"/>
                <w:sz w:val="21"/>
              </w:rPr>
              <w:t>Meta clara + ejemplo completo + práctica guiada + respuesta + feedback + transferencia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2"/>
        <w:keepNext/>
      </w:pPr>
      <w:r>
        <w:t>Regla específica para Matemática · valor cero y recta numérica</w:t>
      </w:r>
    </w:p>
    <w:p>
      <w:pPr>
        <w:pStyle w:val="ListBullet"/>
        <w:spacing w:after="80"/>
      </w:pPr>
      <w:r>
        <w:t>Para enseñar el cero, mostrarlo rotulado en la representación matemática y explicar qué punto de referencia define en ese problema. No usar la superficie del mar, una ficha, una imagen de equilibrio ni otro símbolo aislado como sustituto de una recta numérica correctamente rotulada. En el caso del submarino, se puede establecer la superficie como 0 metros de profundidad si esa convención aparece explícita; la recta vertical debe identificar 0, los valores positivos o negativos pertinentes, la unidad metros y los desplazamientos. Comprobar que imagen, título, subtítulo, operación y nota al orador coincidan.</w:t>
      </w:r>
    </w:p>
    <w:p>
      <w:pPr>
        <w:pStyle w:val="Heading2"/>
        <w:keepNext/>
      </w:pPr>
      <w:r>
        <w:t>Prueba de exactitud de la recta</w:t>
      </w:r>
    </w:p>
    <w:p>
      <w:pPr>
        <w:pStyle w:val="ListBullet"/>
        <w:spacing w:after="80"/>
      </w:pPr>
      <w:r>
        <w:t>Antes de aprobar una recta, comprobar desde el cero el valor de cada marca, la igualdad de los intervalos, la ubicación a izquierda/derecha o arriba/abajo y el sentido de cada movimiento. Las flechas no reemplazan las etiquetas. Si una ilustración generada incorpora marcas ambiguas, eliminar esas marcas y superponer un diagrama matemático limpio, editable y exacto.</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generar imágenes, Codex completa una ficha interna por cada diapositiva prevista. Cada registro vincula número y tipo de lámina con la ubicación exacta en la clase, función didáctica, texto y datos visibles, acción visual, overlays editables, nota al orador y estados de revisión curricular, disciplinar, visual y técnica. La ficha no se entrega como archivo independiente.</w:t>
      </w:r>
    </w:p>
    <w:p>
      <w:pPr>
        <w:pStyle w:val="ListBullet"/>
      </w:pPr>
      <w:r>
        <w:t>El registro de fuentes de cada OA identifica el nombre y la versión o fecha del archivo vigente con la clase completa y sus prompts, este Plan Maestro disciplinar, el Plan Maestro para Presentaciones de Gancho y Explicación 7B, versión 1.4, actualizada el 2026-10-03 a las 15:38 · America/Santiago (UTC−03:00). y el recurso aprobado de marca. Si existen copias incompatibles o una contradicción en la clase, se detiene el PPTX afectado y se reportan archivo, ubicación, evidencia y resolución requerida.</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Matemática, comprobar cada número, signo, operación, unidad y respuesta; verificar que el procedimiento mostrado coincide con la lección y que las rectas, escalas, marcas y puntos de referencia representan correctamente esos datos.</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hallazgos se asignan por causa y alcance. Las brechas de OA, secuencia, contenido, ejemplo, ejercicio o prompt se documentan con ubicación y evidencia y se devuelven a Antigravity para corregir la fuente y alimentar el agente auditor. Los defectos de composición, imágenes, tipografía, contraste, overlays, notas, montaje o render del PPTX son responsabilidad de Codex y se corrigen en su sistema de producción. Solo la causa comprobada en la fuente se remite a Antigravity; Antigravity no genera ni audita los PPTX finales. Cada caso registra su alcance universal, disciplinar o del OA y no se eleva a regla general sin evidencia suficiente y validación.</w:t>
      </w:r>
    </w:p>
    <w:p>
      <w:pPr>
        <w:pStyle w:val="ListBullet"/>
      </w:pPr>
      <w:r>
        <w:t>Antes de iniciar nuevos OA, comprobar los casos de regresión cuyo alcance aplique. Si falla un control, corregir el componente afectado según su responsable y repetir la comprobación antes de aprobar.</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Plan_Maestro_EstudioSimple_Matematica_7B_v1.4_2026-10-03_1538_UTC-0300</dc:title>
  <dc:subject>Plan maestro disciplinar de EstudioSimple con flujo de producción audiovisual trazable.</dc:subject>
  <dc:creator>EstudioSimple</dc:creator>
  <cp:keywords/>
  <dc:description>Actualización 2026-10-03 15:38 (America/Santiago, UTC−03:00); registro horario de versión.</dc:description>
  <cp:lastModifiedBy/>
  <cp:revision>1</cp:revision>
  <dcterms:created xsi:type="dcterms:W3CDTF">2013-12-23T23:15:00Z</dcterms:created>
  <dcterms:modified xsi:type="dcterms:W3CDTF">2013-12-23T23:15:00Z</dcterms:modified>
  <cp:category/>
</cp:coreProperties>
</file>