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pPr>
      <w:r>
        <w:rPr>
          <w:rFonts w:ascii="Calibri" w:hAnsi="Calibri"/>
          <w:b/>
          <w:i w:val="0"/>
          <w:color w:val="2E74B5"/>
          <w:sz w:val="20"/>
        </w:rPr>
        <w:t>ING</w:t>
      </w:r>
    </w:p>
    <w:p>
      <w:pPr>
        <w:spacing w:before="0" w:after="80" w:line="240" w:lineRule="auto"/>
      </w:pPr>
      <w:r>
        <w:rPr>
          <w:rFonts w:ascii="Calibri" w:hAnsi="Calibri"/>
          <w:b/>
          <w:i w:val="0"/>
          <w:color w:val="0B2545"/>
          <w:sz w:val="52"/>
        </w:rPr>
        <w:t>PLAN MAESTRO · INGLÉS</w:t>
      </w:r>
    </w:p>
    <w:p>
      <w:pPr>
        <w:spacing w:before="0" w:after="280" w:line="300" w:lineRule="auto"/>
      </w:pPr>
      <w:r>
        <w:rPr>
          <w:rFonts w:ascii="Calibri" w:hAnsi="Calibri"/>
          <w:b w:val="0"/>
          <w:i/>
          <w:color w:val="5A636E"/>
          <w:sz w:val="26"/>
        </w:rPr>
        <w:t>Ganchos y Lecciones · 7° Básico · Exámenes Libres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80" w:after="80" w:line="288" w:lineRule="auto"/>
            </w:pPr>
            <w:r>
              <w:rPr>
                <w:rFonts w:ascii="Calibri" w:hAnsi="Calibri"/>
                <w:b/>
                <w:i w:val="0"/>
                <w:color w:val="7A5A00"/>
                <w:sz w:val="21"/>
              </w:rPr>
              <w:t xml:space="preserve">DECISIÓN OPERATIVA  </w:t>
            </w:r>
            <w:r>
              <w:rPr>
                <w:rFonts w:ascii="Calibri" w:hAnsi="Calibri"/>
                <w:b w:val="0"/>
                <w:i w:val="0"/>
                <w:color w:val="2D343C"/>
                <w:sz w:val="21"/>
              </w:rPr>
              <w:t>Este documento es la autoridad disciplinar para diseñar, producir y revisar Ganchos y Lecciones de ING. Si una producción contradice este plan, se detiene y se corrige antes de continuar.</w:t>
            </w:r>
          </w:p>
        </w:tc>
      </w:tr>
    </w:tbl>
    <w:p>
      <w:pPr>
        <w:spacing w:after="40"/>
      </w:pPr>
    </w:p>
    <w:p>
      <w:pPr>
        <w:pStyle w:val="Heading1"/>
        <w:keepNext/>
      </w:pPr>
      <w:r>
        <w:rPr>
          <w:rFonts w:ascii="Calibri" w:hAnsi="Calibri"/>
          <w:b/>
          <w:i w:val="0"/>
          <w:color w:val="2E74B5"/>
          <w:sz w:val="32"/>
        </w:rPr>
        <w:t>Ficha de control</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Campo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Definición</w:t>
            </w:r>
          </w:p>
        </w:tc>
      </w:tr>
      <w:tr>
        <w:tc>
          <w:tcPr>
            <w:tcW w:type="dxa" w:w="1875"/>
            <w:shd w:fill="F7FAFC"/>
          </w:tcPr>
          <w:p>
            <w:pPr>
              <w:spacing w:before="0" w:after="0" w:line="276" w:lineRule="auto"/>
            </w:pPr>
            <w:r>
              <w:rPr>
                <w:rFonts w:ascii="Calibri" w:hAnsi="Calibri"/>
                <w:b w:val="0"/>
                <w:i w:val="0"/>
                <w:color w:val="2D343C"/>
                <w:sz w:val="18"/>
              </w:rPr>
              <w:t>Nivel</w:t>
            </w:r>
          </w:p>
        </w:tc>
        <w:tc>
          <w:tcPr>
            <w:tcW w:type="dxa" w:w="4625"/>
            <w:shd w:fill="F7FAFC"/>
          </w:tcPr>
          <w:p>
            <w:pPr>
              <w:spacing w:before="0" w:after="0" w:line="276" w:lineRule="auto"/>
            </w:pPr>
            <w:r>
              <w:rPr>
                <w:rFonts w:ascii="Calibri" w:hAnsi="Calibri"/>
                <w:b w:val="0"/>
                <w:i w:val="0"/>
                <w:color w:val="2D343C"/>
                <w:sz w:val="18"/>
              </w:rPr>
              <w:t>7° Básico; estudiantes de 11 a 13 años.</w:t>
            </w:r>
          </w:p>
        </w:tc>
      </w:tr>
      <w:tr>
        <w:tc>
          <w:tcPr>
            <w:tcW w:type="dxa" w:w="1875"/>
            <w:shd w:fill="FFFFFF"/>
          </w:tcPr>
          <w:p>
            <w:pPr>
              <w:spacing w:before="0" w:after="0" w:line="276" w:lineRule="auto"/>
            </w:pPr>
            <w:r>
              <w:rPr>
                <w:rFonts w:ascii="Calibri" w:hAnsi="Calibri"/>
                <w:b w:val="0"/>
                <w:i w:val="0"/>
                <w:color w:val="2D343C"/>
                <w:sz w:val="18"/>
              </w:rPr>
              <w:t>Fases</w:t>
            </w:r>
          </w:p>
        </w:tc>
        <w:tc>
          <w:tcPr>
            <w:tcW w:type="dxa" w:w="4625"/>
            <w:shd w:fill="FFFFFF"/>
          </w:tcPr>
          <w:p>
            <w:pPr>
              <w:spacing w:before="0" w:after="0" w:line="276" w:lineRule="auto"/>
            </w:pPr>
            <w:r>
              <w:rPr>
                <w:rFonts w:ascii="Calibri" w:hAnsi="Calibri"/>
                <w:b w:val="0"/>
                <w:i w:val="0"/>
                <w:color w:val="2D343C"/>
                <w:sz w:val="18"/>
              </w:rPr>
              <w:t>Gancho narrativo → Lección explicativa → Juego o actividad posterior.</w:t>
            </w:r>
          </w:p>
        </w:tc>
      </w:tr>
      <w:tr>
        <w:tc>
          <w:tcPr>
            <w:tcW w:type="dxa" w:w="1875"/>
            <w:shd w:fill="F7FAFC"/>
          </w:tcPr>
          <w:p>
            <w:pPr>
              <w:spacing w:before="0" w:after="0" w:line="276" w:lineRule="auto"/>
            </w:pPr>
            <w:r>
              <w:rPr>
                <w:rFonts w:ascii="Calibri" w:hAnsi="Calibri"/>
                <w:b w:val="0"/>
                <w:i w:val="0"/>
                <w:color w:val="2D343C"/>
                <w:sz w:val="18"/>
              </w:rPr>
              <w:t>Fuente curricular</w:t>
            </w:r>
          </w:p>
        </w:tc>
        <w:tc>
          <w:tcPr>
            <w:tcW w:type="dxa" w:w="4625"/>
            <w:shd w:fill="F7FAFC"/>
          </w:tcPr>
          <w:p>
            <w:pPr>
              <w:spacing w:before="0" w:after="0" w:line="276" w:lineRule="auto"/>
            </w:pPr>
            <w:r>
              <w:rPr>
                <w:rFonts w:ascii="Calibri" w:hAnsi="Calibri"/>
                <w:b w:val="0"/>
                <w:i w:val="0"/>
                <w:color w:val="2D343C"/>
                <w:sz w:val="18"/>
              </w:rPr>
              <w:t>Temario oficial de Exámenes Libres, Bases Curriculares e indicadores pertinentes.</w:t>
            </w:r>
          </w:p>
        </w:tc>
      </w:tr>
      <w:tr>
        <w:tc>
          <w:tcPr>
            <w:tcW w:type="dxa" w:w="1875"/>
            <w:shd w:fill="FFFFFF"/>
          </w:tcPr>
          <w:p>
            <w:pPr>
              <w:spacing w:before="0" w:after="0" w:line="276" w:lineRule="auto"/>
            </w:pPr>
            <w:r>
              <w:rPr>
                <w:rFonts w:ascii="Calibri" w:hAnsi="Calibri"/>
                <w:b w:val="0"/>
                <w:i w:val="0"/>
                <w:color w:val="2D343C"/>
                <w:sz w:val="18"/>
              </w:rPr>
              <w:t>Código de asignatura</w:t>
            </w:r>
          </w:p>
        </w:tc>
        <w:tc>
          <w:tcPr>
            <w:tcW w:type="dxa" w:w="4625"/>
            <w:shd w:fill="FFFFFF"/>
          </w:tcPr>
          <w:p>
            <w:pPr>
              <w:spacing w:before="0" w:after="0" w:line="276" w:lineRule="auto"/>
            </w:pPr>
            <w:r>
              <w:rPr>
                <w:rFonts w:ascii="Calibri" w:hAnsi="Calibri"/>
                <w:b w:val="0"/>
                <w:i w:val="0"/>
                <w:color w:val="2D343C"/>
                <w:sz w:val="18"/>
              </w:rPr>
              <w:t>ING</w:t>
            </w:r>
          </w:p>
        </w:tc>
      </w:tr>
      <w:tr>
        <w:tc>
          <w:tcPr>
            <w:tcW w:type="dxa" w:w="1875"/>
            <w:shd w:fill="F7FAFC"/>
          </w:tcPr>
          <w:p>
            <w:pPr>
              <w:spacing w:before="0" w:after="0" w:line="276" w:lineRule="auto"/>
            </w:pPr>
            <w:r>
              <w:rPr>
                <w:rFonts w:ascii="Calibri" w:hAnsi="Calibri"/>
                <w:b w:val="0"/>
                <w:i w:val="0"/>
                <w:color w:val="2D343C"/>
                <w:sz w:val="18"/>
              </w:rPr>
              <w:t>Versión</w:t>
            </w:r>
          </w:p>
        </w:tc>
        <w:tc>
          <w:tcPr>
            <w:tcW w:type="dxa" w:w="4625"/>
            <w:shd w:fill="F7FAFC"/>
          </w:tcPr>
          <w:p>
            <w:r>
              <w:t>1.5 · Zonificación visual, notas al orador y QA bloqueante</w:t>
            </w:r>
          </w:p>
        </w:tc>
      </w:tr>
    </w:tbl>
    <w:p>
      <w:pPr>
        <w:spacing w:after="40"/>
      </w:pPr>
    </w:p>
    <w:p>
      <w:pPr>
        <w:pStyle w:val="Heading1"/>
        <w:keepNext/>
      </w:pPr>
      <w:r>
        <w:rPr>
          <w:rFonts w:ascii="Calibri" w:hAnsi="Calibri"/>
          <w:b/>
          <w:i w:val="0"/>
          <w:color w:val="2E74B5"/>
          <w:sz w:val="32"/>
        </w:rPr>
        <w:t>1. Propósito y alcance</w:t>
      </w:r>
    </w:p>
    <w:p>
      <w:pPr>
        <w:spacing w:before="0" w:after="120" w:line="300" w:lineRule="auto"/>
      </w:pPr>
      <w:r>
        <w:rPr>
          <w:rFonts w:ascii="Calibri" w:hAnsi="Calibri"/>
          <w:b w:val="0"/>
          <w:i w:val="0"/>
          <w:sz w:val="22"/>
        </w:rPr>
        <w:t>Este plan define cómo se construyen las experiencias de EstudioSimple para Inglés. No es una guía visual genérica: establece qué debe aprender el estudiante, cómo se modela el pensamiento disciplinar y qué evidencia mínima permite declarar una Lección terminada.</w:t>
      </w:r>
    </w:p>
    <w:p>
      <w:pPr>
        <w:spacing w:before="0" w:after="120" w:line="300" w:lineRule="auto"/>
      </w:pPr>
      <w:r>
        <w:rPr>
          <w:rFonts w:ascii="Calibri" w:hAnsi="Calibri"/>
          <w:b w:val="0"/>
          <w:i w:val="0"/>
          <w:sz w:val="22"/>
        </w:rPr>
        <w:t>La producción no se considera aprobada porque las diapositivas sean atractivas o porque el PPTX abra correctamente. Debe demostrar comprensión progresiva, ejemplo desarrollado, práctica con apoyo, feedback explícito y transferencia.</w:t>
      </w:r>
    </w:p>
    <w:p>
      <w:pPr>
        <w:pStyle w:val="Heading1"/>
        <w:keepNext/>
      </w:pPr>
      <w:r>
        <w:rPr>
          <w:rFonts w:ascii="Calibri" w:hAnsi="Calibri"/>
          <w:b/>
          <w:i w:val="0"/>
          <w:color w:val="2E74B5"/>
          <w:sz w:val="32"/>
        </w:rPr>
        <w:t>2. Principio didáctico central</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REGLA BLOQUEANTE  </w:t>
            </w:r>
            <w:r>
              <w:rPr>
                <w:rFonts w:ascii="Calibri" w:hAnsi="Calibri"/>
                <w:b w:val="0"/>
                <w:i w:val="0"/>
                <w:color w:val="2D343C"/>
                <w:sz w:val="21"/>
              </w:rPr>
              <w:t>Toda Lección debe incluir al menos un ejemplo completamente desarrollado. El ejemplo no puede limitarse a mostrar el resultado ni a formular una pregunta. Debe enseñar el camino que lleva desde la información inicial hasta una respuesta justificada.</w:t>
            </w:r>
          </w:p>
        </w:tc>
      </w:tr>
    </w:tbl>
    <w:p>
      <w:pPr>
        <w:spacing w:after="40"/>
      </w:pPr>
    </w:p>
    <w:p>
      <w:pPr>
        <w:spacing w:before="0" w:after="120" w:line="300" w:lineRule="auto"/>
      </w:pPr>
      <w:r>
        <w:rPr>
          <w:rFonts w:ascii="Calibri" w:hAnsi="Calibri"/>
          <w:b w:val="0"/>
          <w:i w:val="0"/>
          <w:sz w:val="22"/>
        </w:rPr>
        <w:t>El estudiante debe poder responder, después de observar el ejemplo: “¿Qué hizo el modelo?, ¿en qué orden lo hizo?, ¿por qué lo hizo así?, ¿cómo puedo repetirlo en otro caso?”. Si no puede contestar esas preguntas, el ejemplo está incompleto.</w:t>
      </w:r>
    </w:p>
    <w:p>
      <w:pPr>
        <w:pStyle w:val="Heading2"/>
        <w:keepNext/>
      </w:pPr>
      <w:r>
        <w:rPr>
          <w:rFonts w:ascii="Calibri" w:hAnsi="Calibri"/>
          <w:b/>
          <w:i w:val="0"/>
          <w:color w:val="2E74B5"/>
          <w:sz w:val="26"/>
        </w:rPr>
        <w:t>2.1 Secuencia universal de comprensión</w:t>
      </w:r>
    </w:p>
    <w:p>
      <w:pPr>
        <w:pStyle w:val="ListNumber"/>
        <w:spacing w:before="0" w:after="80" w:line="300" w:lineRule="auto"/>
      </w:pPr>
      <w:r>
        <w:rPr>
          <w:rFonts w:ascii="Calibri" w:hAnsi="Calibri"/>
          <w:b w:val="0"/>
          <w:i w:val="0"/>
          <w:color w:val="232A32"/>
          <w:sz w:val="21"/>
        </w:rPr>
        <w:t>Activar el desafío del Gancho y declarar con claridad qué aprenderá el estudiante.</w:t>
      </w:r>
    </w:p>
    <w:p>
      <w:pPr>
        <w:pStyle w:val="ListNumber"/>
        <w:spacing w:before="0" w:after="80" w:line="300" w:lineRule="auto"/>
      </w:pPr>
      <w:r>
        <w:rPr>
          <w:rFonts w:ascii="Calibri" w:hAnsi="Calibri"/>
          <w:b w:val="0"/>
          <w:i w:val="0"/>
          <w:color w:val="232A32"/>
          <w:sz w:val="21"/>
        </w:rPr>
        <w:t>Presentar una herramienta disciplinar concreta, no una lista amplia de contenidos.</w:t>
      </w:r>
    </w:p>
    <w:p>
      <w:pPr>
        <w:pStyle w:val="ListNumber"/>
        <w:spacing w:before="0" w:after="80" w:line="300" w:lineRule="auto"/>
      </w:pPr>
      <w:r>
        <w:rPr>
          <w:rFonts w:ascii="Calibri" w:hAnsi="Calibri"/>
          <w:b w:val="0"/>
          <w:i w:val="0"/>
          <w:color w:val="232A32"/>
          <w:sz w:val="21"/>
        </w:rPr>
        <w:t>Modelar un ejemplo completo mediante pensamiento visible y pasos explícitos.</w:t>
      </w:r>
    </w:p>
    <w:p>
      <w:pPr>
        <w:pStyle w:val="ListNumber"/>
        <w:spacing w:before="0" w:after="80" w:line="300" w:lineRule="auto"/>
      </w:pPr>
      <w:r>
        <w:rPr>
          <w:rFonts w:ascii="Calibri" w:hAnsi="Calibri"/>
          <w:b w:val="0"/>
          <w:i w:val="0"/>
          <w:color w:val="232A32"/>
          <w:sz w:val="21"/>
        </w:rPr>
        <w:t>Resolver un segundo caso de manera guiada, dejando decisiones parciales al estudiante.</w:t>
      </w:r>
    </w:p>
    <w:p>
      <w:pPr>
        <w:pStyle w:val="ListNumber"/>
        <w:spacing w:before="0" w:after="80" w:line="300" w:lineRule="auto"/>
      </w:pPr>
      <w:r>
        <w:rPr>
          <w:rFonts w:ascii="Calibri" w:hAnsi="Calibri"/>
          <w:b w:val="0"/>
          <w:i w:val="0"/>
          <w:color w:val="232A32"/>
          <w:sz w:val="21"/>
        </w:rPr>
        <w:t>Entregar una tarea autónoma breve, con respuesta y feedback verificables.</w:t>
      </w:r>
    </w:p>
    <w:p>
      <w:pPr>
        <w:pStyle w:val="ListNumber"/>
        <w:spacing w:before="0" w:after="80" w:line="300" w:lineRule="auto"/>
      </w:pPr>
      <w:r>
        <w:rPr>
          <w:rFonts w:ascii="Calibri" w:hAnsi="Calibri"/>
          <w:b w:val="0"/>
          <w:i w:val="0"/>
          <w:color w:val="232A32"/>
          <w:sz w:val="21"/>
        </w:rPr>
        <w:t>Transferir el procedimiento o estrategia a un contexto nuevo y volver al Gancho.</w:t>
      </w:r>
    </w:p>
    <w:p>
      <w:pPr>
        <w:pStyle w:val="Heading1"/>
        <w:keepNext/>
      </w:pPr>
      <w:r>
        <w:rPr>
          <w:rFonts w:ascii="Calibri" w:hAnsi="Calibri"/>
          <w:b/>
          <w:i w:val="0"/>
          <w:color w:val="2E74B5"/>
          <w:sz w:val="32"/>
        </w:rPr>
        <w:t>3. Arquitectura de producción</w:t>
      </w:r>
    </w:p>
    <w:tbl>
      <w:tblPr>
        <w:tblW w:type="dxa" w:w="9360"/>
        <w:jc w:val="left"/>
        <w:tblLayout w:type="fixed"/>
        <w:tblLook w:firstColumn="1" w:firstRow="1" w:lastColumn="0" w:lastRow="0" w:noHBand="0" w:noVBand="1" w:val="04A0"/>
        <w:tblInd w:w="120" w:type="dxa"/>
      </w:tblPr>
      <w:tblGrid>
        <w:gridCol w:w="1700"/>
        <w:gridCol w:w="4300"/>
        <w:gridCol w:w="3360"/>
      </w:tblGrid>
      <w:tr>
        <w:tc>
          <w:tcPr>
            <w:tcW w:type="dxa" w:w="17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Momento</w:t>
            </w:r>
          </w:p>
        </w:tc>
        <w:tc>
          <w:tcPr>
            <w:tcW w:type="dxa" w:w="43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Función obligatoria</w:t>
            </w:r>
          </w:p>
        </w:tc>
        <w:tc>
          <w:tcPr>
            <w:tcW w:type="dxa" w:w="33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Puerta de aprobación</w:t>
            </w:r>
          </w:p>
        </w:tc>
      </w:tr>
      <w:tr>
        <w:tc>
          <w:tcPr>
            <w:tcW w:type="dxa" w:w="1700"/>
            <w:shd w:fill="F7FAFC"/>
          </w:tcPr>
          <w:p>
            <w:pPr>
              <w:spacing w:before="0" w:after="0" w:line="276" w:lineRule="auto"/>
            </w:pPr>
            <w:r>
              <w:rPr>
                <w:rFonts w:ascii="Calibri" w:hAnsi="Calibri"/>
                <w:b w:val="0"/>
                <w:i w:val="0"/>
                <w:color w:val="2D343C"/>
                <w:sz w:val="18"/>
              </w:rPr>
              <w:t>Gancho</w:t>
            </w:r>
          </w:p>
        </w:tc>
        <w:tc>
          <w:tcPr>
            <w:tcW w:type="dxa" w:w="4300"/>
            <w:shd w:fill="F7FAFC"/>
          </w:tcPr>
          <w:p>
            <w:pPr>
              <w:spacing w:before="0" w:after="0" w:line="276" w:lineRule="auto"/>
            </w:pPr>
            <w:r>
              <w:rPr>
                <w:rFonts w:ascii="Calibri" w:hAnsi="Calibri"/>
                <w:b w:val="0"/>
                <w:i w:val="0"/>
                <w:color w:val="2D343C"/>
                <w:sz w:val="18"/>
              </w:rPr>
              <w:t>Situación significativa, tensión cognitiva y pregunta detonante.</w:t>
            </w:r>
          </w:p>
        </w:tc>
        <w:tc>
          <w:tcPr>
            <w:tcW w:type="dxa" w:w="3360"/>
            <w:shd w:fill="F7FAFC"/>
          </w:tcPr>
          <w:p>
            <w:pPr>
              <w:spacing w:before="0" w:after="0" w:line="276" w:lineRule="auto"/>
            </w:pPr>
            <w:r>
              <w:rPr>
                <w:rFonts w:ascii="Calibri" w:hAnsi="Calibri"/>
                <w:b w:val="0"/>
                <w:i w:val="0"/>
                <w:color w:val="2D343C"/>
                <w:sz w:val="18"/>
              </w:rPr>
              <w:t>No desarrolla la clase completa.</w:t>
            </w:r>
          </w:p>
        </w:tc>
      </w:tr>
      <w:tr>
        <w:tc>
          <w:tcPr>
            <w:tcW w:type="dxa" w:w="1700"/>
            <w:shd w:fill="FFFFFF"/>
          </w:tcPr>
          <w:p>
            <w:pPr>
              <w:spacing w:before="0" w:after="0" w:line="276" w:lineRule="auto"/>
            </w:pPr>
            <w:r>
              <w:rPr>
                <w:rFonts w:ascii="Calibri" w:hAnsi="Calibri"/>
                <w:b w:val="0"/>
                <w:i w:val="0"/>
                <w:color w:val="2D343C"/>
                <w:sz w:val="18"/>
              </w:rPr>
              <w:t>Puente</w:t>
            </w:r>
          </w:p>
        </w:tc>
        <w:tc>
          <w:tcPr>
            <w:tcW w:type="dxa" w:w="4300"/>
            <w:shd w:fill="FFFFFF"/>
          </w:tcPr>
          <w:p>
            <w:pPr>
              <w:spacing w:before="0" w:after="0" w:line="276" w:lineRule="auto"/>
            </w:pPr>
            <w:r>
              <w:rPr>
                <w:rFonts w:ascii="Calibri" w:hAnsi="Calibri"/>
                <w:b w:val="0"/>
                <w:i w:val="0"/>
                <w:color w:val="2D343C"/>
                <w:sz w:val="18"/>
              </w:rPr>
              <w:t>Recupera el conflicto, objeto o pregunta del Gancho.</w:t>
            </w:r>
          </w:p>
        </w:tc>
        <w:tc>
          <w:tcPr>
            <w:tcW w:type="dxa" w:w="3360"/>
            <w:shd w:fill="FFFFFF"/>
          </w:tcPr>
          <w:p>
            <w:pPr>
              <w:spacing w:before="0" w:after="0" w:line="276" w:lineRule="auto"/>
            </w:pPr>
            <w:r>
              <w:rPr>
                <w:rFonts w:ascii="Calibri" w:hAnsi="Calibri"/>
                <w:b w:val="0"/>
                <w:i w:val="0"/>
                <w:color w:val="2D343C"/>
                <w:sz w:val="18"/>
              </w:rPr>
              <w:t>El estudiante reconoce la continuidad.</w:t>
            </w:r>
          </w:p>
        </w:tc>
      </w:tr>
      <w:tr>
        <w:tc>
          <w:tcPr>
            <w:tcW w:type="dxa" w:w="1700"/>
            <w:shd w:fill="F7FAFC"/>
          </w:tcPr>
          <w:p>
            <w:pPr>
              <w:spacing w:before="0" w:after="0" w:line="276" w:lineRule="auto"/>
            </w:pPr>
            <w:r>
              <w:rPr>
                <w:rFonts w:ascii="Calibri" w:hAnsi="Calibri"/>
                <w:b w:val="0"/>
                <w:i w:val="0"/>
                <w:color w:val="2D343C"/>
                <w:sz w:val="18"/>
              </w:rPr>
              <w:t>Meta</w:t>
            </w:r>
          </w:p>
        </w:tc>
        <w:tc>
          <w:tcPr>
            <w:tcW w:type="dxa" w:w="4300"/>
            <w:shd w:fill="F7FAFC"/>
          </w:tcPr>
          <w:p>
            <w:pPr>
              <w:spacing w:before="0" w:after="0" w:line="276" w:lineRule="auto"/>
            </w:pPr>
            <w:r>
              <w:rPr>
                <w:rFonts w:ascii="Calibri" w:hAnsi="Calibri"/>
                <w:b w:val="0"/>
                <w:i w:val="0"/>
                <w:color w:val="2D343C"/>
                <w:sz w:val="18"/>
              </w:rPr>
              <w:t>Declara “Con este objetivo aprenderás a…” con lenguaje comprensible.</w:t>
            </w:r>
          </w:p>
        </w:tc>
        <w:tc>
          <w:tcPr>
            <w:tcW w:type="dxa" w:w="3360"/>
            <w:shd w:fill="F7FAFC"/>
          </w:tcPr>
          <w:p>
            <w:pPr>
              <w:spacing w:before="0" w:after="0" w:line="276" w:lineRule="auto"/>
            </w:pPr>
            <w:r>
              <w:rPr>
                <w:rFonts w:ascii="Calibri" w:hAnsi="Calibri"/>
                <w:b w:val="0"/>
                <w:i w:val="0"/>
                <w:color w:val="2D343C"/>
                <w:sz w:val="18"/>
              </w:rPr>
              <w:t>La meta coincide con el OA y la herramienta.</w:t>
            </w:r>
          </w:p>
        </w:tc>
      </w:tr>
      <w:tr>
        <w:tc>
          <w:tcPr>
            <w:tcW w:type="dxa" w:w="1700"/>
            <w:shd w:fill="FFFFFF"/>
          </w:tcPr>
          <w:p>
            <w:pPr>
              <w:spacing w:before="0" w:after="0" w:line="276" w:lineRule="auto"/>
            </w:pPr>
            <w:r>
              <w:rPr>
                <w:rFonts w:ascii="Calibri" w:hAnsi="Calibri"/>
                <w:b w:val="0"/>
                <w:i w:val="0"/>
                <w:color w:val="2D343C"/>
                <w:sz w:val="18"/>
              </w:rPr>
              <w:t>Modelado</w:t>
            </w:r>
          </w:p>
        </w:tc>
        <w:tc>
          <w:tcPr>
            <w:tcW w:type="dxa" w:w="4300"/>
            <w:shd w:fill="FFFFFF"/>
          </w:tcPr>
          <w:p>
            <w:pPr>
              <w:spacing w:before="0" w:after="0" w:line="276" w:lineRule="auto"/>
            </w:pPr>
            <w:r>
              <w:rPr>
                <w:rFonts w:ascii="Calibri" w:hAnsi="Calibri"/>
                <w:b w:val="0"/>
                <w:i w:val="0"/>
                <w:color w:val="2D343C"/>
                <w:sz w:val="18"/>
              </w:rPr>
              <w:t>Ejemplo completamente resuelto, con pasos y decisiones visibles.</w:t>
            </w:r>
          </w:p>
        </w:tc>
        <w:tc>
          <w:tcPr>
            <w:tcW w:type="dxa" w:w="3360"/>
            <w:shd w:fill="FFFFFF"/>
          </w:tcPr>
          <w:p>
            <w:pPr>
              <w:spacing w:before="0" w:after="0" w:line="276" w:lineRule="auto"/>
            </w:pPr>
            <w:r>
              <w:rPr>
                <w:rFonts w:ascii="Calibri" w:hAnsi="Calibri"/>
                <w:b w:val="0"/>
                <w:i w:val="0"/>
                <w:color w:val="2D343C"/>
                <w:sz w:val="18"/>
              </w:rPr>
              <w:t>La respuesta final queda justificada.</w:t>
            </w:r>
          </w:p>
        </w:tc>
      </w:tr>
      <w:tr>
        <w:tc>
          <w:tcPr>
            <w:tcW w:type="dxa" w:w="1700"/>
            <w:shd w:fill="F7FAFC"/>
          </w:tcPr>
          <w:p>
            <w:pPr>
              <w:spacing w:before="0" w:after="0" w:line="276" w:lineRule="auto"/>
            </w:pPr>
            <w:r>
              <w:rPr>
                <w:rFonts w:ascii="Calibri" w:hAnsi="Calibri"/>
                <w:b w:val="0"/>
                <w:i w:val="0"/>
                <w:color w:val="2D343C"/>
                <w:sz w:val="18"/>
              </w:rPr>
              <w:t>Práctica guiada</w:t>
            </w:r>
          </w:p>
        </w:tc>
        <w:tc>
          <w:tcPr>
            <w:tcW w:type="dxa" w:w="4300"/>
            <w:shd w:fill="F7FAFC"/>
          </w:tcPr>
          <w:p>
            <w:pPr>
              <w:spacing w:before="0" w:after="0" w:line="276" w:lineRule="auto"/>
            </w:pPr>
            <w:r>
              <w:rPr>
                <w:rFonts w:ascii="Calibri" w:hAnsi="Calibri"/>
                <w:b w:val="0"/>
                <w:i w:val="0"/>
                <w:color w:val="2D343C"/>
                <w:sz w:val="18"/>
              </w:rPr>
              <w:t>Nuevo caso con apoyo, pausas y feedback.</w:t>
            </w:r>
          </w:p>
        </w:tc>
        <w:tc>
          <w:tcPr>
            <w:tcW w:type="dxa" w:w="3360"/>
            <w:shd w:fill="F7FAFC"/>
          </w:tcPr>
          <w:p>
            <w:pPr>
              <w:spacing w:before="0" w:after="0" w:line="276" w:lineRule="auto"/>
            </w:pPr>
            <w:r>
              <w:rPr>
                <w:rFonts w:ascii="Calibri" w:hAnsi="Calibri"/>
                <w:b w:val="0"/>
                <w:i w:val="0"/>
                <w:color w:val="2D343C"/>
                <w:sz w:val="18"/>
              </w:rPr>
              <w:t>No se deja una aplicación sin resolución.</w:t>
            </w:r>
          </w:p>
        </w:tc>
      </w:tr>
      <w:tr>
        <w:tc>
          <w:tcPr>
            <w:tcW w:type="dxa" w:w="1700"/>
            <w:shd w:fill="FFFFFF"/>
          </w:tcPr>
          <w:p>
            <w:pPr>
              <w:spacing w:before="0" w:after="0" w:line="276" w:lineRule="auto"/>
            </w:pPr>
            <w:r>
              <w:rPr>
                <w:rFonts w:ascii="Calibri" w:hAnsi="Calibri"/>
                <w:b w:val="0"/>
                <w:i w:val="0"/>
                <w:color w:val="2D343C"/>
                <w:sz w:val="18"/>
              </w:rPr>
              <w:t>Transferencia</w:t>
            </w:r>
          </w:p>
        </w:tc>
        <w:tc>
          <w:tcPr>
            <w:tcW w:type="dxa" w:w="4300"/>
            <w:shd w:fill="FFFFFF"/>
          </w:tcPr>
          <w:p>
            <w:pPr>
              <w:spacing w:before="0" w:after="0" w:line="276" w:lineRule="auto"/>
            </w:pPr>
            <w:r>
              <w:rPr>
                <w:rFonts w:ascii="Calibri" w:hAnsi="Calibri"/>
                <w:b w:val="0"/>
                <w:i w:val="0"/>
                <w:color w:val="2D343C"/>
                <w:sz w:val="18"/>
              </w:rPr>
              <w:t>Caso nuevo o regreso al Gancho.</w:t>
            </w:r>
          </w:p>
        </w:tc>
        <w:tc>
          <w:tcPr>
            <w:tcW w:type="dxa" w:w="3360"/>
            <w:shd w:fill="FFFFFF"/>
          </w:tcPr>
          <w:p>
            <w:pPr>
              <w:spacing w:before="0" w:after="0" w:line="276" w:lineRule="auto"/>
            </w:pPr>
            <w:r>
              <w:rPr>
                <w:rFonts w:ascii="Calibri" w:hAnsi="Calibri"/>
                <w:b w:val="0"/>
                <w:i w:val="0"/>
                <w:color w:val="2D343C"/>
                <w:sz w:val="18"/>
              </w:rPr>
              <w:t>El estudiante aplica la estrategia en otra situación.</w:t>
            </w:r>
          </w:p>
        </w:tc>
      </w:tr>
    </w:tbl>
    <w:p>
      <w:pPr>
        <w:spacing w:after="40"/>
      </w:pPr>
    </w:p>
    <w:p>
      <w:pPr>
        <w:pStyle w:val="Heading2"/>
        <w:keepNext/>
      </w:pPr>
      <w:r>
        <w:rPr>
          <w:rFonts w:ascii="Calibri" w:hAnsi="Calibri"/>
          <w:b/>
          <w:i w:val="0"/>
          <w:color w:val="2E74B5"/>
          <w:sz w:val="26"/>
        </w:rPr>
        <w:t>3.1 Estructura estándar de la Lección</w:t>
      </w:r>
    </w:p>
    <w:tbl>
      <w:tblPr>
        <w:tblW w:type="dxa" w:w="9360"/>
        <w:jc w:val="left"/>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Slides</w:t>
            </w:r>
          </w:p>
        </w:tc>
        <w:tc>
          <w:tcPr>
            <w:tcW w:type="dxa" w:w="78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Uso</w:t>
            </w:r>
          </w:p>
        </w:tc>
      </w:tr>
      <w:tr>
        <w:tc>
          <w:tcPr>
            <w:tcW w:type="dxa" w:w="1500"/>
            <w:shd w:fill="F7FAFC"/>
          </w:tcPr>
          <w:p>
            <w:pPr>
              <w:spacing w:before="0" w:after="0" w:line="276" w:lineRule="auto"/>
            </w:pPr>
            <w:r>
              <w:rPr>
                <w:rFonts w:ascii="Calibri" w:hAnsi="Calibri"/>
                <w:b w:val="0"/>
                <w:i w:val="0"/>
                <w:color w:val="2D343C"/>
                <w:sz w:val="18"/>
              </w:rPr>
              <w:t>1–3</w:t>
            </w:r>
          </w:p>
        </w:tc>
        <w:tc>
          <w:tcPr>
            <w:tcW w:type="dxa" w:w="7860"/>
            <w:shd w:fill="F7FAFC"/>
          </w:tcPr>
          <w:p>
            <w:pPr>
              <w:spacing w:before="0" w:after="0" w:line="276" w:lineRule="auto"/>
            </w:pPr>
            <w:r>
              <w:rPr>
                <w:rFonts w:ascii="Calibri" w:hAnsi="Calibri"/>
                <w:b w:val="0"/>
                <w:i w:val="0"/>
                <w:color w:val="2D343C"/>
                <w:sz w:val="18"/>
              </w:rPr>
              <w:t>Puente, pregunta detonante y meta de aprendizaje.</w:t>
            </w:r>
          </w:p>
        </w:tc>
      </w:tr>
      <w:tr>
        <w:tc>
          <w:tcPr>
            <w:tcW w:type="dxa" w:w="1500"/>
            <w:shd w:fill="FFFFFF"/>
          </w:tcPr>
          <w:p>
            <w:pPr>
              <w:spacing w:before="0" w:after="0" w:line="276" w:lineRule="auto"/>
            </w:pPr>
            <w:r>
              <w:rPr>
                <w:rFonts w:ascii="Calibri" w:hAnsi="Calibri"/>
                <w:b w:val="0"/>
                <w:i w:val="0"/>
                <w:color w:val="2D343C"/>
                <w:sz w:val="18"/>
              </w:rPr>
              <w:t>4–5</w:t>
            </w:r>
          </w:p>
        </w:tc>
        <w:tc>
          <w:tcPr>
            <w:tcW w:type="dxa" w:w="7860"/>
            <w:shd w:fill="FFFFFF"/>
          </w:tcPr>
          <w:p>
            <w:pPr>
              <w:spacing w:before="0" w:after="0" w:line="276" w:lineRule="auto"/>
            </w:pPr>
            <w:r>
              <w:rPr>
                <w:rFonts w:ascii="Calibri" w:hAnsi="Calibri"/>
                <w:b w:val="0"/>
                <w:i w:val="0"/>
                <w:color w:val="2D343C"/>
                <w:sz w:val="18"/>
              </w:rPr>
              <w:t>Activación y presentación de la herramienta disciplinar.</w:t>
            </w:r>
          </w:p>
        </w:tc>
      </w:tr>
      <w:tr>
        <w:tc>
          <w:tcPr>
            <w:tcW w:type="dxa" w:w="1500"/>
            <w:shd w:fill="F7FAFC"/>
          </w:tcPr>
          <w:p>
            <w:pPr>
              <w:spacing w:before="0" w:after="0" w:line="276" w:lineRule="auto"/>
            </w:pPr>
            <w:r>
              <w:rPr>
                <w:rFonts w:ascii="Calibri" w:hAnsi="Calibri"/>
                <w:b w:val="0"/>
                <w:i w:val="0"/>
                <w:color w:val="2D343C"/>
                <w:sz w:val="18"/>
              </w:rPr>
              <w:t>6–10</w:t>
            </w:r>
          </w:p>
        </w:tc>
        <w:tc>
          <w:tcPr>
            <w:tcW w:type="dxa" w:w="7860"/>
            <w:shd w:fill="F7FAFC"/>
          </w:tcPr>
          <w:p>
            <w:pPr>
              <w:spacing w:before="0" w:after="0" w:line="276" w:lineRule="auto"/>
            </w:pPr>
            <w:r>
              <w:rPr>
                <w:rFonts w:ascii="Calibri" w:hAnsi="Calibri"/>
                <w:b w:val="0"/>
                <w:i w:val="0"/>
                <w:color w:val="2D343C"/>
                <w:sz w:val="18"/>
              </w:rPr>
              <w:t>Ejemplo completamente desarrollado; cada slide muestra un paso o decisión.</w:t>
            </w:r>
          </w:p>
        </w:tc>
      </w:tr>
      <w:tr>
        <w:tc>
          <w:tcPr>
            <w:tcW w:type="dxa" w:w="1500"/>
            <w:shd w:fill="FFFFFF"/>
          </w:tcPr>
          <w:p>
            <w:pPr>
              <w:spacing w:before="0" w:after="0" w:line="276" w:lineRule="auto"/>
            </w:pPr>
            <w:r>
              <w:rPr>
                <w:rFonts w:ascii="Calibri" w:hAnsi="Calibri"/>
                <w:b w:val="0"/>
                <w:i w:val="0"/>
                <w:color w:val="2D343C"/>
                <w:sz w:val="18"/>
              </w:rPr>
              <w:t>11–13</w:t>
            </w:r>
          </w:p>
        </w:tc>
        <w:tc>
          <w:tcPr>
            <w:tcW w:type="dxa" w:w="7860"/>
            <w:shd w:fill="FFFFFF"/>
          </w:tcPr>
          <w:p>
            <w:pPr>
              <w:spacing w:before="0" w:after="0" w:line="276" w:lineRule="auto"/>
            </w:pPr>
            <w:r>
              <w:rPr>
                <w:rFonts w:ascii="Calibri" w:hAnsi="Calibri"/>
                <w:b w:val="0"/>
                <w:i w:val="0"/>
                <w:color w:val="2D343C"/>
                <w:sz w:val="18"/>
              </w:rPr>
              <w:t>Práctica guiada: el estudiante participa y recibe orientación.</w:t>
            </w:r>
          </w:p>
        </w:tc>
      </w:tr>
      <w:tr>
        <w:tc>
          <w:tcPr>
            <w:tcW w:type="dxa" w:w="1500"/>
            <w:shd w:fill="F7FAFC"/>
          </w:tcPr>
          <w:p>
            <w:pPr>
              <w:spacing w:before="0" w:after="0" w:line="276" w:lineRule="auto"/>
            </w:pPr>
            <w:r>
              <w:rPr>
                <w:rFonts w:ascii="Calibri" w:hAnsi="Calibri"/>
                <w:b w:val="0"/>
                <w:i w:val="0"/>
                <w:color w:val="2D343C"/>
                <w:sz w:val="18"/>
              </w:rPr>
              <w:t>14</w:t>
            </w:r>
          </w:p>
        </w:tc>
        <w:tc>
          <w:tcPr>
            <w:tcW w:type="dxa" w:w="7860"/>
            <w:shd w:fill="F7FAFC"/>
          </w:tcPr>
          <w:p>
            <w:pPr>
              <w:spacing w:before="0" w:after="0" w:line="276" w:lineRule="auto"/>
            </w:pPr>
            <w:r>
              <w:rPr>
                <w:rFonts w:ascii="Calibri" w:hAnsi="Calibri"/>
                <w:b w:val="0"/>
                <w:i w:val="0"/>
                <w:color w:val="2D343C"/>
                <w:sz w:val="18"/>
              </w:rPr>
              <w:t>Respuesta y feedback explícitos.</w:t>
            </w:r>
          </w:p>
        </w:tc>
      </w:tr>
      <w:tr>
        <w:tc>
          <w:tcPr>
            <w:tcW w:type="dxa" w:w="1500"/>
            <w:shd w:fill="FFFFFF"/>
          </w:tcPr>
          <w:p>
            <w:pPr>
              <w:spacing w:before="0" w:after="0" w:line="276" w:lineRule="auto"/>
            </w:pPr>
            <w:r>
              <w:rPr>
                <w:rFonts w:ascii="Calibri" w:hAnsi="Calibri"/>
                <w:b w:val="0"/>
                <w:i w:val="0"/>
                <w:color w:val="2D343C"/>
                <w:sz w:val="18"/>
              </w:rPr>
              <w:t>15–16</w:t>
            </w:r>
          </w:p>
        </w:tc>
        <w:tc>
          <w:tcPr>
            <w:tcW w:type="dxa" w:w="7860"/>
            <w:shd w:fill="FFFFFF"/>
          </w:tcPr>
          <w:p>
            <w:pPr>
              <w:spacing w:before="0" w:after="0" w:line="276" w:lineRule="auto"/>
            </w:pPr>
            <w:r>
              <w:rPr>
                <w:rFonts w:ascii="Calibri" w:hAnsi="Calibri"/>
                <w:b w:val="0"/>
                <w:i w:val="0"/>
                <w:color w:val="2D343C"/>
                <w:sz w:val="18"/>
              </w:rPr>
              <w:t>Transferencia, error frecuente y aclaración.</w:t>
            </w:r>
          </w:p>
        </w:tc>
      </w:tr>
      <w:tr>
        <w:tc>
          <w:tcPr>
            <w:tcW w:type="dxa" w:w="1500"/>
            <w:shd w:fill="F7FAFC"/>
          </w:tcPr>
          <w:p>
            <w:pPr>
              <w:spacing w:before="0" w:after="0" w:line="276" w:lineRule="auto"/>
            </w:pPr>
            <w:r>
              <w:rPr>
                <w:rFonts w:ascii="Calibri" w:hAnsi="Calibri"/>
                <w:b w:val="0"/>
                <w:i w:val="0"/>
                <w:color w:val="2D343C"/>
                <w:sz w:val="18"/>
              </w:rPr>
              <w:t>17</w:t>
            </w:r>
          </w:p>
        </w:tc>
        <w:tc>
          <w:tcPr>
            <w:tcW w:type="dxa" w:w="7860"/>
            <w:shd w:fill="F7FAFC"/>
          </w:tcPr>
          <w:p>
            <w:pPr>
              <w:spacing w:before="0" w:after="0" w:line="276" w:lineRule="auto"/>
            </w:pPr>
            <w:r>
              <w:rPr>
                <w:rFonts w:ascii="Calibri" w:hAnsi="Calibri"/>
                <w:b w:val="0"/>
                <w:i w:val="0"/>
                <w:color w:val="2D343C"/>
                <w:sz w:val="18"/>
              </w:rPr>
              <w:t>Síntesis, retorno al Gancho y puente al Juego.</w:t>
            </w:r>
          </w:p>
        </w:tc>
      </w:tr>
    </w:tbl>
    <w:p>
      <w:pPr>
        <w:spacing w:after="40"/>
      </w:pPr>
    </w:p>
    <w:p>
      <w:pPr>
        <w:pStyle w:val="Heading1"/>
        <w:keepNext/>
      </w:pPr>
      <w:r>
        <w:rPr>
          <w:rFonts w:ascii="Calibri" w:hAnsi="Calibri"/>
          <w:b/>
          <w:i w:val="0"/>
          <w:color w:val="2E74B5"/>
          <w:sz w:val="32"/>
        </w:rPr>
        <w:t>4. Reglas de continuidad y diseño</w:t>
      </w:r>
    </w:p>
    <w:p>
      <w:pPr>
        <w:pStyle w:val="ListBullet"/>
        <w:spacing w:before="0" w:after="80" w:line="300" w:lineRule="auto"/>
      </w:pPr>
      <w:r>
        <w:rPr>
          <w:rFonts w:ascii="Calibri" w:hAnsi="Calibri"/>
          <w:b w:val="0"/>
          <w:i w:val="0"/>
          <w:color w:val="232A32"/>
          <w:sz w:val="21"/>
        </w:rPr>
        <w:t>La Lección comienza donde terminó el Gancho y recupera su pregunta antes de introducir contenido nuevo.</w:t>
      </w:r>
    </w:p>
    <w:p>
      <w:pPr>
        <w:pStyle w:val="ListBullet"/>
        <w:spacing w:before="0" w:after="80" w:line="300" w:lineRule="auto"/>
      </w:pPr>
      <w:r>
        <w:rPr>
          <w:rFonts w:ascii="Calibri" w:hAnsi="Calibri"/>
          <w:b w:val="0"/>
          <w:i w:val="0"/>
          <w:color w:val="232A32"/>
          <w:sz w:val="21"/>
        </w:rPr>
        <w:t>Se conserva el protagonista principal del OA; el contexto puede evolucionar solo si la evolución tiene función didáctica.</w:t>
      </w:r>
    </w:p>
    <w:p>
      <w:pPr>
        <w:pStyle w:val="ListBullet"/>
        <w:spacing w:before="0" w:after="80" w:line="300" w:lineRule="auto"/>
      </w:pPr>
      <w:r>
        <w:rPr>
          <w:rFonts w:ascii="Calibri" w:hAnsi="Calibri"/>
          <w:b w:val="0"/>
          <w:i w:val="0"/>
          <w:color w:val="232A32"/>
          <w:sz w:val="21"/>
        </w:rPr>
        <w:t>Cada diapositiva tiene una idea principal. Las explicaciones extensas van en las notas al orador.</w:t>
      </w:r>
    </w:p>
    <w:p>
      <w:pPr>
        <w:pStyle w:val="ListBullet"/>
        <w:spacing w:before="0" w:after="80" w:line="300" w:lineRule="auto"/>
      </w:pPr>
      <w:r>
        <w:rPr>
          <w:rFonts w:ascii="Calibri" w:hAnsi="Calibri"/>
          <w:b w:val="0"/>
          <w:i w:val="0"/>
          <w:color w:val="232A32"/>
          <w:sz w:val="21"/>
        </w:rPr>
        <w:t>El texto visible debe ser breve, legible, contrastado y no debe tapar al personaje ni convertirse en un cartel dominante.</w:t>
      </w:r>
    </w:p>
    <w:p>
      <w:pPr>
        <w:pStyle w:val="ListBullet"/>
        <w:spacing w:before="0" w:after="80" w:line="300" w:lineRule="auto"/>
      </w:pPr>
      <w:r>
        <w:rPr>
          <w:rFonts w:ascii="Calibri" w:hAnsi="Calibri"/>
          <w:b w:val="0"/>
          <w:i w:val="0"/>
          <w:color w:val="232A32"/>
          <w:sz w:val="21"/>
        </w:rPr>
        <w:t>La imagen y el texto deben representar el mismo paso conceptual; no se usan imágenes decorativas sin función.</w:t>
      </w:r>
    </w:p>
    <w:p>
      <w:pPr>
        <w:pStyle w:val="ListBullet"/>
        <w:spacing w:before="0" w:after="80" w:line="300" w:lineRule="auto"/>
      </w:pPr>
      <w:r>
        <w:rPr>
          <w:rFonts w:ascii="Calibri" w:hAnsi="Calibri"/>
          <w:b w:val="0"/>
          <w:i w:val="0"/>
          <w:color w:val="232A32"/>
          <w:sz w:val="21"/>
        </w:rPr>
        <w:t>La meta de aprendizaje debe aparecer en la diapositiva y desarrollarse literalmente en las notas.</w:t>
      </w:r>
    </w:p>
    <w:p>
      <w:pPr>
        <w:pStyle w:val="ListBullet"/>
      </w:pPr>
      <w:r>
        <w:t>No se permite una máscara oscura dominante como recurso visual por defecto. Si la imagen ya contiene espacio negativo o una zona limpia, el texto debe ocupar ese espacio sin añadir una segunda capa que opaque la escena.</w:t>
      </w:r>
    </w:p>
    <w:p>
      <w:pPr>
        <w:pStyle w:val="ListBullet"/>
      </w:pPr>
      <w:r>
        <w:t>Cuando se requiera un panel para contraste, debe ser contenido, translúcido y funcional: no puede ocultar rostros, acciones, objetos clave ni evidencias visuales necesarias para comprender el paso conceptual.</w:t>
      </w:r>
    </w:p>
    <w:p>
      <w:pPr>
        <w:pStyle w:val="ListBullet"/>
      </w:pPr>
      <w:r>
        <w:t>El protagonista principal del OA debe mantener identidad visual consistente. Cualquier cambio de personaje, edad aparente, rasgos o vestuario que rompa la continuidad debe detectarse en el control visual antes de entregar.</w:t>
      </w:r>
    </w:p>
    <w:p>
      <w:pPr>
        <w:pStyle w:val="ListBullet"/>
      </w:pPr>
      <w:r>
        <w:t>El texto secundario debe priorizar blanco cuando exista contraste suficiente. Se evita usar colores de bajo contraste sobre fondos complejos.</w:t>
      </w:r>
    </w:p>
    <w:p>
      <w:pPr>
        <w:pStyle w:val="Heading1"/>
        <w:keepNext/>
      </w:pPr>
      <w:r>
        <w:rPr>
          <w:rFonts w:ascii="Calibri" w:hAnsi="Calibri"/>
          <w:b/>
          <w:i w:val="0"/>
          <w:color w:val="2E74B5"/>
          <w:sz w:val="32"/>
        </w:rPr>
        <w:t>5. Notas al orador y GUION.txt</w:t>
      </w:r>
    </w:p>
    <w:p>
      <w:pPr>
        <w:spacing w:before="0" w:after="120" w:line="300" w:lineRule="auto"/>
      </w:pPr>
      <w:r>
        <w:rPr>
          <w:rFonts w:ascii="Calibri" w:hAnsi="Calibri"/>
          <w:b w:val="0"/>
          <w:i w:val="0"/>
          <w:sz w:val="22"/>
        </w:rPr>
        <w:t>Las notas al orador son el guion pedagógico completo. Cada diapositiva debe explicar qué observa el estudiante, qué debe pensar, qué respuesta se espera y cómo se conecta con el paso siguiente.</w:t>
      </w:r>
    </w:p>
    <w:p>
      <w:pPr>
        <w:pStyle w:val="ListBullet"/>
      </w:pPr>
      <w:r>
        <w:t>No basta con incluir GUION.txt dentro del ZIP: el guion debe quedar integrado correctamente dentro de las notas de cada diapositiva del PPTX.</w:t>
      </w:r>
    </w:p>
    <w:p>
      <w:pPr>
        <w:pStyle w:val="ListBullet"/>
      </w:pPr>
      <w:r>
        <w:t>Se rechaza cualquier PPTX cuyas notas estén vacías, contengan solo numeración, placeholders o errores de serialización como “[object Object]”.</w:t>
      </w:r>
    </w:p>
    <w:p>
      <w:pPr>
        <w:pStyle w:val="ListBullet"/>
      </w:pPr>
      <w:r>
        <w:t>Antes de entregar se verifica al menos la primera diapositiva, una diapositiva intermedia y la última en vista de notas; si una falla, se revisan todas.</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Elemento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Exigencia</w:t>
            </w:r>
          </w:p>
        </w:tc>
      </w:tr>
      <w:tr>
        <w:tc>
          <w:tcPr>
            <w:tcW w:type="dxa" w:w="1875"/>
            <w:shd w:fill="F7FAFC"/>
          </w:tcPr>
          <w:p>
            <w:pPr>
              <w:spacing w:before="0" w:after="0" w:line="276" w:lineRule="auto"/>
            </w:pPr>
            <w:r>
              <w:rPr>
                <w:rFonts w:ascii="Calibri" w:hAnsi="Calibri"/>
                <w:b w:val="0"/>
                <w:i w:val="0"/>
                <w:color w:val="2D343C"/>
                <w:sz w:val="18"/>
              </w:rPr>
              <w:t>Texto visible</w:t>
            </w:r>
          </w:p>
        </w:tc>
        <w:tc>
          <w:tcPr>
            <w:tcW w:type="dxa" w:w="4625"/>
            <w:shd w:fill="F7FAFC"/>
          </w:tcPr>
          <w:p>
            <w:pPr>
              <w:spacing w:before="0" w:after="0" w:line="276" w:lineRule="auto"/>
            </w:pPr>
            <w:r>
              <w:rPr>
                <w:rFonts w:ascii="Calibri" w:hAnsi="Calibri"/>
                <w:b w:val="0"/>
                <w:i w:val="0"/>
                <w:color w:val="2D343C"/>
                <w:sz w:val="18"/>
              </w:rPr>
              <w:t>Una idea clara, con la pregunta o conclusión del paso.</w:t>
            </w:r>
          </w:p>
        </w:tc>
      </w:tr>
      <w:tr>
        <w:tc>
          <w:tcPr>
            <w:tcW w:type="dxa" w:w="1875"/>
            <w:shd w:fill="FFFFFF"/>
          </w:tcPr>
          <w:p>
            <w:pPr>
              <w:spacing w:before="0" w:after="0" w:line="276" w:lineRule="auto"/>
            </w:pPr>
            <w:r>
              <w:rPr>
                <w:rFonts w:ascii="Calibri" w:hAnsi="Calibri"/>
                <w:b w:val="0"/>
                <w:i w:val="0"/>
                <w:color w:val="2D343C"/>
                <w:sz w:val="18"/>
              </w:rPr>
              <w:t>Narración</w:t>
            </w:r>
          </w:p>
        </w:tc>
        <w:tc>
          <w:tcPr>
            <w:tcW w:type="dxa" w:w="4625"/>
            <w:shd w:fill="FFFFFF"/>
          </w:tcPr>
          <w:p>
            <w:pPr>
              <w:spacing w:before="0" w:after="0" w:line="276" w:lineRule="auto"/>
            </w:pPr>
            <w:r>
              <w:rPr>
                <w:rFonts w:ascii="Calibri" w:hAnsi="Calibri"/>
                <w:b w:val="0"/>
                <w:i w:val="0"/>
                <w:color w:val="2D343C"/>
                <w:sz w:val="18"/>
              </w:rPr>
              <w:t>Explica el razonamiento, no repite mecánicamente el texto visible.</w:t>
            </w:r>
          </w:p>
        </w:tc>
      </w:tr>
      <w:tr>
        <w:tc>
          <w:tcPr>
            <w:tcW w:type="dxa" w:w="1875"/>
            <w:shd w:fill="F7FAFC"/>
          </w:tcPr>
          <w:p>
            <w:pPr>
              <w:spacing w:before="0" w:after="0" w:line="276" w:lineRule="auto"/>
            </w:pPr>
            <w:r>
              <w:rPr>
                <w:rFonts w:ascii="Calibri" w:hAnsi="Calibri"/>
                <w:b w:val="0"/>
                <w:i w:val="0"/>
                <w:color w:val="2D343C"/>
                <w:sz w:val="18"/>
              </w:rPr>
              <w:t>Respuesta</w:t>
            </w:r>
          </w:p>
        </w:tc>
        <w:tc>
          <w:tcPr>
            <w:tcW w:type="dxa" w:w="4625"/>
            <w:shd w:fill="F7FAFC"/>
          </w:tcPr>
          <w:p>
            <w:pPr>
              <w:spacing w:before="0" w:after="0" w:line="276" w:lineRule="auto"/>
            </w:pPr>
            <w:r>
              <w:rPr>
                <w:rFonts w:ascii="Calibri" w:hAnsi="Calibri"/>
                <w:b w:val="0"/>
                <w:i w:val="0"/>
                <w:color w:val="2D343C"/>
                <w:sz w:val="18"/>
              </w:rPr>
              <w:t>Se muestra o se entrega después de la pausa cognitiva.</w:t>
            </w:r>
          </w:p>
        </w:tc>
      </w:tr>
      <w:tr>
        <w:tc>
          <w:tcPr>
            <w:tcW w:type="dxa" w:w="1875"/>
            <w:shd w:fill="FFFFFF"/>
          </w:tcPr>
          <w:p>
            <w:pPr>
              <w:spacing w:before="0" w:after="0" w:line="276" w:lineRule="auto"/>
            </w:pPr>
            <w:r>
              <w:rPr>
                <w:rFonts w:ascii="Calibri" w:hAnsi="Calibri"/>
                <w:b w:val="0"/>
                <w:i w:val="0"/>
                <w:color w:val="2D343C"/>
                <w:sz w:val="18"/>
              </w:rPr>
              <w:t>Feedback</w:t>
            </w:r>
          </w:p>
        </w:tc>
        <w:tc>
          <w:tcPr>
            <w:tcW w:type="dxa" w:w="4625"/>
            <w:shd w:fill="FFFFFF"/>
          </w:tcPr>
          <w:p>
            <w:pPr>
              <w:spacing w:before="0" w:after="0" w:line="276" w:lineRule="auto"/>
            </w:pPr>
            <w:r>
              <w:rPr>
                <w:rFonts w:ascii="Calibri" w:hAnsi="Calibri"/>
                <w:b w:val="0"/>
                <w:i w:val="0"/>
                <w:color w:val="2D343C"/>
                <w:sz w:val="18"/>
              </w:rPr>
              <w:t>Aclara por qué la respuesta es correcta y qué error evita.</w:t>
            </w:r>
          </w:p>
        </w:tc>
      </w:tr>
      <w:tr>
        <w:tc>
          <w:tcPr>
            <w:tcW w:type="dxa" w:w="1875"/>
            <w:shd w:fill="F7FAFC"/>
          </w:tcPr>
          <w:p>
            <w:pPr>
              <w:spacing w:before="0" w:after="0" w:line="276" w:lineRule="auto"/>
            </w:pPr>
            <w:r>
              <w:rPr>
                <w:rFonts w:ascii="Calibri" w:hAnsi="Calibri"/>
                <w:b w:val="0"/>
                <w:i w:val="0"/>
                <w:color w:val="2D343C"/>
                <w:sz w:val="18"/>
              </w:rPr>
              <w:t>Identificación</w:t>
            </w:r>
          </w:p>
        </w:tc>
        <w:tc>
          <w:tcPr>
            <w:tcW w:type="dxa" w:w="4625"/>
            <w:shd w:fill="F7FAFC"/>
          </w:tcPr>
          <w:p>
            <w:pPr>
              <w:spacing w:before="0" w:after="0" w:line="276" w:lineRule="auto"/>
            </w:pPr>
            <w:r>
              <w:rPr>
                <w:rFonts w:ascii="Calibri" w:hAnsi="Calibri"/>
                <w:b w:val="0"/>
                <w:i w:val="0"/>
                <w:color w:val="2D343C"/>
                <w:sz w:val="18"/>
              </w:rPr>
              <w:t>GUION.txt y notas usan exactamente slide-01.png, slide-02.png, etc.</w:t>
            </w:r>
          </w:p>
        </w:tc>
      </w:tr>
    </w:tbl>
    <w:p>
      <w:pPr>
        <w:spacing w:after="40"/>
      </w:pPr>
    </w:p>
    <w:p>
      <w:pPr>
        <w:pStyle w:val="Heading1"/>
        <w:keepNext/>
      </w:pPr>
      <w:r>
        <w:rPr>
          <w:rFonts w:ascii="Calibri" w:hAnsi="Calibri"/>
          <w:b/>
          <w:i w:val="0"/>
          <w:color w:val="2E74B5"/>
          <w:sz w:val="32"/>
        </w:rPr>
        <w:t>6. Puertas de calidad antes de entregar</w:t>
      </w:r>
    </w:p>
    <w:p>
      <w:pPr>
        <w:pStyle w:val="ListBullet"/>
        <w:spacing w:before="0" w:after="80" w:line="300" w:lineRule="auto"/>
      </w:pPr>
      <w:r>
        <w:rPr>
          <w:rFonts w:ascii="Calibri" w:hAnsi="Calibri"/>
          <w:b w:val="0"/>
          <w:i w:val="0"/>
          <w:color w:val="232A32"/>
          <w:sz w:val="21"/>
        </w:rPr>
        <w:t>El objetivo y la meta son correctos y están expresados de forma comprensible.</w:t>
      </w:r>
    </w:p>
    <w:p>
      <w:pPr>
        <w:pStyle w:val="ListBullet"/>
        <w:spacing w:before="0" w:after="80" w:line="300" w:lineRule="auto"/>
      </w:pPr>
      <w:r>
        <w:rPr>
          <w:rFonts w:ascii="Calibri" w:hAnsi="Calibri"/>
          <w:b w:val="0"/>
          <w:i w:val="0"/>
          <w:color w:val="232A32"/>
          <w:sz w:val="21"/>
        </w:rPr>
        <w:t>Existe un ejemplo completo, no solo una pregunta o una respuesta final.</w:t>
      </w:r>
    </w:p>
    <w:p>
      <w:pPr>
        <w:pStyle w:val="ListBullet"/>
        <w:spacing w:before="0" w:after="80" w:line="300" w:lineRule="auto"/>
      </w:pPr>
      <w:r>
        <w:rPr>
          <w:rFonts w:ascii="Calibri" w:hAnsi="Calibri"/>
          <w:b w:val="0"/>
          <w:i w:val="0"/>
          <w:color w:val="232A32"/>
          <w:sz w:val="21"/>
        </w:rPr>
        <w:t>Los pasos del ejemplo están en orden y la narración explica las decisiones.</w:t>
      </w:r>
    </w:p>
    <w:p>
      <w:pPr>
        <w:pStyle w:val="ListBullet"/>
        <w:spacing w:before="0" w:after="80" w:line="300" w:lineRule="auto"/>
      </w:pPr>
      <w:r>
        <w:rPr>
          <w:rFonts w:ascii="Calibri" w:hAnsi="Calibri"/>
          <w:b w:val="0"/>
          <w:i w:val="0"/>
          <w:color w:val="232A32"/>
          <w:sz w:val="21"/>
        </w:rPr>
        <w:t>La práctica guiada ocurre después del modelado.</w:t>
      </w:r>
    </w:p>
    <w:p>
      <w:pPr>
        <w:pStyle w:val="ListBullet"/>
        <w:spacing w:before="0" w:after="80" w:line="300" w:lineRule="auto"/>
      </w:pPr>
      <w:r>
        <w:rPr>
          <w:rFonts w:ascii="Calibri" w:hAnsi="Calibri"/>
          <w:b w:val="0"/>
          <w:i w:val="0"/>
          <w:color w:val="232A32"/>
          <w:sz w:val="21"/>
        </w:rPr>
        <w:t>Toda práctica tiene respuesta o feedback explícito.</w:t>
      </w:r>
    </w:p>
    <w:p>
      <w:pPr>
        <w:pStyle w:val="ListBullet"/>
        <w:spacing w:before="0" w:after="80" w:line="300" w:lineRule="auto"/>
      </w:pPr>
      <w:r>
        <w:rPr>
          <w:rFonts w:ascii="Calibri" w:hAnsi="Calibri"/>
          <w:b w:val="0"/>
          <w:i w:val="0"/>
          <w:color w:val="232A32"/>
          <w:sz w:val="21"/>
        </w:rPr>
        <w:t>La transferencia ocurre después de establecer comprensión.</w:t>
      </w:r>
    </w:p>
    <w:p>
      <w:pPr>
        <w:pStyle w:val="ListBullet"/>
        <w:spacing w:before="0" w:after="80" w:line="300" w:lineRule="auto"/>
      </w:pPr>
      <w:r>
        <w:rPr>
          <w:rFonts w:ascii="Calibri" w:hAnsi="Calibri"/>
          <w:b w:val="0"/>
          <w:i w:val="0"/>
          <w:color w:val="232A32"/>
          <w:sz w:val="21"/>
        </w:rPr>
        <w:t>El regreso al Gancho resuelve o ilumina la pregunta inicial.</w:t>
      </w:r>
    </w:p>
    <w:p>
      <w:pPr>
        <w:pStyle w:val="ListBullet"/>
        <w:spacing w:before="0" w:after="80" w:line="300" w:lineRule="auto"/>
      </w:pPr>
      <w:r>
        <w:rPr>
          <w:rFonts w:ascii="Calibri" w:hAnsi="Calibri"/>
          <w:b w:val="0"/>
          <w:i w:val="0"/>
          <w:color w:val="232A32"/>
          <w:sz w:val="21"/>
        </w:rPr>
        <w:t>Las imágenes no repiten escenas de otros OA y no contienen errores conceptuales.</w:t>
      </w:r>
    </w:p>
    <w:p>
      <w:pPr>
        <w:pStyle w:val="ListBullet"/>
        <w:spacing w:before="0" w:after="80" w:line="300" w:lineRule="auto"/>
      </w:pPr>
      <w:r>
        <w:rPr>
          <w:rFonts w:ascii="Calibri" w:hAnsi="Calibri"/>
          <w:b w:val="0"/>
          <w:i w:val="0"/>
          <w:color w:val="232A32"/>
          <w:sz w:val="21"/>
        </w:rPr>
        <w:t>El PPTX abre, se renderiza y no presenta desbordes, cortes ni texto ilegible.</w:t>
      </w:r>
    </w:p>
    <w:p>
      <w:pPr>
        <w:pStyle w:val="ListBullet"/>
        <w:spacing w:before="0" w:after="80" w:line="300" w:lineRule="auto"/>
      </w:pPr>
      <w:r>
        <w:rPr>
          <w:rFonts w:ascii="Calibri" w:hAnsi="Calibri"/>
          <w:b w:val="0"/>
          <w:i w:val="0"/>
          <w:color w:val="232A32"/>
          <w:sz w:val="21"/>
        </w:rPr>
        <w:t>El ZIP tiene la nomenclatura literal, estructura plana, integridad comprobada y enlace descargable.</w:t>
      </w:r>
    </w:p>
    <w:p>
      <w:pPr>
        <w:pStyle w:val="ListBullet"/>
      </w:pPr>
      <w:r>
        <w:t>El montaje completo de las diapositivas se revisa visualmente antes de entregar: ninguna capa, máscara o panel puede impedir ver con claridad la imagen y su evidencia pedagógica.</w:t>
      </w:r>
    </w:p>
    <w:p>
      <w:pPr>
        <w:pStyle w:val="ListBullet"/>
      </w:pPr>
      <w:r>
        <w:t>Las notas del PPTX deben coincidir slide a slide con GUION.txt y estar libres de placeholders, vacíos o errores técnicos.</w:t>
      </w:r>
    </w:p>
    <w:p>
      <w:pPr>
        <w:pStyle w:val="ListBullet"/>
      </w:pPr>
      <w:r>
        <w:t>La revisión visual debe confirmar continuidad del protagonista, contraste correcto, ausencia de desbordes y que los paneles no se conviertan en carteles dominantes.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DECEC"/>
          </w:tcPr>
          <w:p>
            <w:pPr>
              <w:spacing w:before="80" w:after="80" w:line="288" w:lineRule="auto"/>
            </w:pPr>
            <w:r>
              <w:rPr>
                <w:rFonts w:ascii="Calibri" w:hAnsi="Calibri"/>
                <w:b/>
                <w:i w:val="0"/>
                <w:color w:val="9B1C1C"/>
                <w:sz w:val="21"/>
              </w:rPr>
              <w:t xml:space="preserve">NO ENTREGABLE  </w:t>
            </w:r>
            <w:r>
              <w:rPr>
                <w:rFonts w:ascii="Calibri" w:hAnsi="Calibri"/>
                <w:b w:val="0"/>
                <w:i w:val="0"/>
                <w:color w:val="2D343C"/>
                <w:sz w:val="21"/>
              </w:rPr>
              <w:t>Si falla una de estas puertas, el OA vuelve a producción. La apertura del PPTX o la lectura superficial del ZIP no constituyen aprobación.</w:t>
            </w:r>
          </w:p>
        </w:tc>
      </w:tr>
    </w:tbl>
    <w:p>
      <w:pPr>
        <w:spacing w:after="40"/>
      </w:pPr>
    </w:p>
    <w:p>
      <w:pPr>
        <w:pStyle w:val="Heading1"/>
        <w:keepNext/>
      </w:pPr>
      <w:r>
        <w:rPr>
          <w:rFonts w:ascii="Calibri" w:hAnsi="Calibri"/>
          <w:b/>
          <w:i w:val="0"/>
          <w:color w:val="2E74B5"/>
          <w:sz w:val="32"/>
        </w:rPr>
        <w:t>7. Nomenclatura y entrega</w:t>
      </w:r>
    </w:p>
    <w:p>
      <w:pPr>
        <w:spacing w:before="0" w:after="120" w:line="300" w:lineRule="auto"/>
      </w:pPr>
      <w:r>
        <w:rPr>
          <w:rFonts w:ascii="Calibri" w:hAnsi="Calibri"/>
          <w:b w:val="0"/>
          <w:i w:val="0"/>
          <w:sz w:val="22"/>
        </w:rPr>
        <w:t>La nomenclatura se construye con la asignatura y el OA real. No se agregan sufijos, versiones, fechas ni textos auxiliares al nombre base.</w:t>
      </w:r>
    </w:p>
    <w:tbl>
      <w:tblPr>
        <w:tblW w:type="dxa" w:w="6500"/>
        <w:jc w:val="left"/>
        <w:tblLayout w:type="fixed"/>
        <w:tblLook w:firstColumn="1" w:firstRow="1" w:lastColumn="0" w:lastRow="0" w:noHBand="0" w:noVBand="1" w:val="04A0"/>
        <w:tblInd w:w="120" w:type="dxa"/>
      </w:tblPr>
      <w:tblGrid>
        <w:gridCol w:w="1875"/>
        <w:gridCol w:w="4625"/>
      </w:tblGrid>
      <w:tr>
        <w:tc>
          <w:tcPr>
            <w:tcW w:type="dxa" w:w="187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Producto</w:t>
            </w:r>
          </w:p>
        </w:tc>
        <w:tc>
          <w:tcPr>
            <w:tcW w:type="dxa" w:w="4625"/>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Nombre obligatorio</w:t>
            </w:r>
          </w:p>
        </w:tc>
      </w:tr>
      <w:tr>
        <w:tc>
          <w:tcPr>
            <w:tcW w:type="dxa" w:w="1875"/>
            <w:shd w:fill="F7FAFC"/>
          </w:tcPr>
          <w:p>
            <w:pPr>
              <w:spacing w:before="0" w:after="0" w:line="276" w:lineRule="auto"/>
            </w:pPr>
            <w:r>
              <w:rPr>
                <w:rFonts w:ascii="Calibri" w:hAnsi="Calibri"/>
                <w:b w:val="0"/>
                <w:i w:val="0"/>
                <w:color w:val="2D343C"/>
                <w:sz w:val="18"/>
              </w:rPr>
              <w:t>Gancho</w:t>
            </w:r>
          </w:p>
        </w:tc>
        <w:tc>
          <w:tcPr>
            <w:tcW w:type="dxa" w:w="4625"/>
            <w:shd w:fill="F7FAFC"/>
          </w:tcPr>
          <w:p>
            <w:pPr>
              <w:spacing w:before="0" w:after="0" w:line="276" w:lineRule="auto"/>
            </w:pPr>
            <w:r>
              <w:rPr>
                <w:rFonts w:ascii="Calibri" w:hAnsi="Calibri"/>
                <w:b w:val="0"/>
                <w:i w:val="0"/>
                <w:color w:val="2D343C"/>
                <w:sz w:val="18"/>
              </w:rPr>
              <w:t>110-7-[SIGLA]-OA[NN]-GANCHO.zip</w:t>
            </w:r>
          </w:p>
        </w:tc>
      </w:tr>
      <w:tr>
        <w:tc>
          <w:tcPr>
            <w:tcW w:type="dxa" w:w="1875"/>
            <w:shd w:fill="FFFFFF"/>
          </w:tcPr>
          <w:p>
            <w:pPr>
              <w:spacing w:before="0" w:after="0" w:line="276" w:lineRule="auto"/>
            </w:pPr>
            <w:r>
              <w:rPr>
                <w:rFonts w:ascii="Calibri" w:hAnsi="Calibri"/>
                <w:b w:val="0"/>
                <w:i w:val="0"/>
                <w:color w:val="2D343C"/>
                <w:sz w:val="18"/>
              </w:rPr>
              <w:t>Lección</w:t>
            </w:r>
          </w:p>
        </w:tc>
        <w:tc>
          <w:tcPr>
            <w:tcW w:type="dxa" w:w="4625"/>
            <w:shd w:fill="FFFFFF"/>
          </w:tcPr>
          <w:p>
            <w:pPr>
              <w:spacing w:before="0" w:after="0" w:line="276" w:lineRule="auto"/>
            </w:pPr>
            <w:r>
              <w:rPr>
                <w:rFonts w:ascii="Calibri" w:hAnsi="Calibri"/>
                <w:b w:val="0"/>
                <w:i w:val="0"/>
                <w:color w:val="2D343C"/>
                <w:sz w:val="18"/>
              </w:rPr>
              <w:t>110-7-[SIGLA]-OA[NN]-LECCION.zip</w:t>
            </w:r>
          </w:p>
        </w:tc>
      </w:tr>
      <w:tr>
        <w:tc>
          <w:tcPr>
            <w:tcW w:type="dxa" w:w="1875"/>
            <w:shd w:fill="F7FAFC"/>
          </w:tcPr>
          <w:p>
            <w:pPr>
              <w:spacing w:before="0" w:after="0" w:line="276" w:lineRule="auto"/>
            </w:pPr>
            <w:r>
              <w:rPr>
                <w:rFonts w:ascii="Calibri" w:hAnsi="Calibri"/>
                <w:b w:val="0"/>
                <w:i w:val="0"/>
                <w:color w:val="2D343C"/>
                <w:sz w:val="18"/>
              </w:rPr>
              <w:t>PPTX Gancho</w:t>
            </w:r>
          </w:p>
        </w:tc>
        <w:tc>
          <w:tcPr>
            <w:tcW w:type="dxa" w:w="4625"/>
            <w:shd w:fill="F7FAFC"/>
          </w:tcPr>
          <w:p>
            <w:pPr>
              <w:spacing w:before="0" w:after="0" w:line="276" w:lineRule="auto"/>
            </w:pPr>
            <w:r>
              <w:rPr>
                <w:rFonts w:ascii="Calibri" w:hAnsi="Calibri"/>
                <w:b w:val="0"/>
                <w:i w:val="0"/>
                <w:color w:val="2D343C"/>
                <w:sz w:val="18"/>
              </w:rPr>
              <w:t>110-7-[SIGLA]-OA[NN]-GANCHO.pptx</w:t>
            </w:r>
          </w:p>
        </w:tc>
      </w:tr>
      <w:tr>
        <w:tc>
          <w:tcPr>
            <w:tcW w:type="dxa" w:w="1875"/>
            <w:shd w:fill="FFFFFF"/>
          </w:tcPr>
          <w:p>
            <w:pPr>
              <w:spacing w:before="0" w:after="0" w:line="276" w:lineRule="auto"/>
            </w:pPr>
            <w:r>
              <w:rPr>
                <w:rFonts w:ascii="Calibri" w:hAnsi="Calibri"/>
                <w:b w:val="0"/>
                <w:i w:val="0"/>
                <w:color w:val="2D343C"/>
                <w:sz w:val="18"/>
              </w:rPr>
              <w:t>PPTX Lección</w:t>
            </w:r>
          </w:p>
        </w:tc>
        <w:tc>
          <w:tcPr>
            <w:tcW w:type="dxa" w:w="4625"/>
            <w:shd w:fill="FFFFFF"/>
          </w:tcPr>
          <w:p>
            <w:pPr>
              <w:spacing w:before="0" w:after="0" w:line="276" w:lineRule="auto"/>
            </w:pPr>
            <w:r>
              <w:rPr>
                <w:rFonts w:ascii="Calibri" w:hAnsi="Calibri"/>
                <w:b w:val="0"/>
                <w:i w:val="0"/>
                <w:color w:val="2D343C"/>
                <w:sz w:val="18"/>
              </w:rPr>
              <w:t>110-7-[SIGLA]-OA[NN]-LECCION.pptx</w:t>
            </w:r>
          </w:p>
        </w:tc>
      </w:tr>
    </w:tbl>
    <w:p>
      <w:pPr>
        <w:spacing w:after="40"/>
      </w:pPr>
    </w:p>
    <w:p>
      <w:pPr>
        <w:spacing w:before="0" w:after="120" w:line="300" w:lineRule="auto"/>
      </w:pPr>
      <w:r>
        <w:rPr>
          <w:rFonts w:ascii="Calibri" w:hAnsi="Calibri"/>
          <w:b w:val="0"/>
          <w:i w:val="0"/>
          <w:sz w:val="22"/>
        </w:rPr>
        <w:t>Cada ZIP debe tener estructura plana: PPTX homónimo, GUION.txt y las imágenes slide-01.png en adelante. Antes de comunicar enlaces se verifica unzip -t, tamaño, cantidad de archivos, SHA-256 y descarga real.</w:t>
      </w:r>
    </w:p>
    <w:p>
      <w:pPr>
        <w:pStyle w:val="Heading1"/>
        <w:keepNext/>
      </w:pPr>
      <w:r>
        <w:rPr>
          <w:rFonts w:ascii="Calibri" w:hAnsi="Calibri"/>
          <w:b/>
          <w:i w:val="0"/>
          <w:color w:val="2E74B5"/>
          <w:sz w:val="32"/>
        </w:rPr>
        <w:t>8. Flujo de trabajo obligatorio</w:t>
      </w:r>
    </w:p>
    <w:p>
      <w:pPr>
        <w:pStyle w:val="ListNumber"/>
        <w:spacing w:before="0" w:after="80" w:line="300" w:lineRule="auto"/>
      </w:pPr>
      <w:r>
        <w:rPr>
          <w:rFonts w:ascii="Calibri" w:hAnsi="Calibri"/>
          <w:b w:val="0"/>
          <w:i w:val="0"/>
          <w:color w:val="232A32"/>
          <w:sz w:val="21"/>
        </w:rPr>
        <w:t>Extraer OA, indicadores, errores frecuentes y propósito disciplinar desde la fuente oficial.</w:t>
      </w:r>
    </w:p>
    <w:p>
      <w:pPr>
        <w:pStyle w:val="ListNumber"/>
        <w:spacing w:before="0" w:after="80" w:line="300" w:lineRule="auto"/>
      </w:pPr>
      <w:r>
        <w:rPr>
          <w:rFonts w:ascii="Calibri" w:hAnsi="Calibri"/>
          <w:b w:val="0"/>
          <w:i w:val="0"/>
          <w:color w:val="232A32"/>
          <w:sz w:val="21"/>
        </w:rPr>
        <w:t>Completar la Ficha Maestra del OA antes de crear imágenes.</w:t>
      </w:r>
    </w:p>
    <w:p>
      <w:pPr>
        <w:pStyle w:val="ListNumber"/>
        <w:spacing w:before="0" w:after="80" w:line="300" w:lineRule="auto"/>
      </w:pPr>
      <w:r>
        <w:rPr>
          <w:rFonts w:ascii="Calibri" w:hAnsi="Calibri"/>
          <w:b w:val="0"/>
          <w:i w:val="0"/>
          <w:color w:val="232A32"/>
          <w:sz w:val="21"/>
        </w:rPr>
        <w:t>Diseñar Gancho y pregunta detonante.</w:t>
      </w:r>
    </w:p>
    <w:p>
      <w:pPr>
        <w:pStyle w:val="ListNumber"/>
        <w:spacing w:before="0" w:after="80" w:line="300" w:lineRule="auto"/>
      </w:pPr>
      <w:r>
        <w:rPr>
          <w:rFonts w:ascii="Calibri" w:hAnsi="Calibri"/>
          <w:b w:val="0"/>
          <w:i w:val="0"/>
          <w:color w:val="232A32"/>
          <w:sz w:val="21"/>
        </w:rPr>
        <w:t>Diseñar la herramienta disciplinar y el ejemplo completo antes de producir toda la Lección.</w:t>
      </w:r>
    </w:p>
    <w:p>
      <w:pPr>
        <w:pStyle w:val="ListNumber"/>
        <w:spacing w:before="0" w:after="80" w:line="300" w:lineRule="auto"/>
      </w:pPr>
      <w:r>
        <w:rPr>
          <w:rFonts w:ascii="Calibri" w:hAnsi="Calibri"/>
          <w:b w:val="0"/>
          <w:i w:val="0"/>
          <w:color w:val="232A32"/>
          <w:sz w:val="21"/>
        </w:rPr>
        <w:t>Validar una apertura, un ejemplo y un cierre antes de producir en masa.</w:t>
      </w:r>
    </w:p>
    <w:p>
      <w:pPr>
        <w:pStyle w:val="ListNumber"/>
        <w:spacing w:before="0" w:after="80" w:line="300" w:lineRule="auto"/>
      </w:pPr>
      <w:r>
        <w:rPr>
          <w:rFonts w:ascii="Calibri" w:hAnsi="Calibri"/>
          <w:b w:val="0"/>
          <w:i w:val="0"/>
          <w:color w:val="232A32"/>
          <w:sz w:val="21"/>
        </w:rPr>
        <w:t>Generar imágenes, PPTX, notas y GUION.txt.</w:t>
      </w:r>
    </w:p>
    <w:p>
      <w:pPr>
        <w:pStyle w:val="ListNumber"/>
        <w:spacing w:before="0" w:after="80" w:line="300" w:lineRule="auto"/>
      </w:pPr>
      <w:r>
        <w:rPr>
          <w:rFonts w:ascii="Calibri" w:hAnsi="Calibri"/>
          <w:b w:val="0"/>
          <w:i w:val="0"/>
          <w:color w:val="232A32"/>
          <w:sz w:val="21"/>
        </w:rPr>
        <w:t>Realizar revisión disciplinar, pedagógica, visual y técnica.</w:t>
      </w:r>
    </w:p>
    <w:p>
      <w:pPr>
        <w:pStyle w:val="ListNumber"/>
        <w:spacing w:before="0" w:after="80" w:line="300" w:lineRule="auto"/>
      </w:pPr>
      <w:r>
        <w:rPr>
          <w:rFonts w:ascii="Calibri" w:hAnsi="Calibri"/>
          <w:b w:val="0"/>
          <w:i w:val="0"/>
          <w:color w:val="232A32"/>
          <w:sz w:val="21"/>
        </w:rPr>
        <w:t>Crear ZIP, probar integridad, guardar de forma persistente y verificar los enlaces.</w:t>
      </w:r>
    </w:p>
    <w:p>
      <w:pPr>
        <w:pStyle w:val="Heading1"/>
        <w:keepNext/>
      </w:pPr>
      <w:r>
        <w:rPr>
          <w:rFonts w:ascii="Calibri" w:hAnsi="Calibri"/>
          <w:b/>
          <w:i w:val="0"/>
          <w:color w:val="2E74B5"/>
          <w:sz w:val="32"/>
        </w:rPr>
        <w:t>9. Identidad didáctica de la asignatura</w:t>
      </w:r>
    </w:p>
    <w:p>
      <w:pPr>
        <w:spacing w:before="0" w:after="120" w:line="300" w:lineRule="auto"/>
      </w:pPr>
      <w:r>
        <w:rPr>
          <w:rFonts w:ascii="Calibri" w:hAnsi="Calibri"/>
          <w:b w:val="0"/>
          <w:i w:val="0"/>
          <w:sz w:val="22"/>
        </w:rPr>
        <w:t>Inglés debe enseñar a comprender y producir mensajes en situaciones comunicativas. La Lección debe conectar significado, forma, pronunciación y uso. No basta con mostrar vocabulario o una regla gramatical aislada.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pPr>
              <w:spacing w:before="80" w:after="80" w:line="288" w:lineRule="auto"/>
            </w:pPr>
            <w:r>
              <w:rPr>
                <w:rFonts w:ascii="Calibri" w:hAnsi="Calibri"/>
                <w:b/>
                <w:i w:val="0"/>
                <w:color w:val="1F4D78"/>
                <w:sz w:val="21"/>
              </w:rPr>
              <w:t xml:space="preserve">PREGUNTA DE CONTROL  </w:t>
            </w:r>
            <w:r>
              <w:rPr>
                <w:rFonts w:ascii="Calibri" w:hAnsi="Calibri"/>
                <w:b w:val="0"/>
                <w:i w:val="0"/>
                <w:color w:val="2D343C"/>
                <w:sz w:val="21"/>
              </w:rPr>
              <w:t>¿Puede el estudiante comprender el modelo, identificar el patrón, producir una respuesta semejante y usarlo en una situación nueva?</w:t>
            </w:r>
          </w:p>
        </w:tc>
      </w:tr>
    </w:tbl>
    <w:p>
      <w:pPr>
        <w:spacing w:after="40"/>
      </w:pPr>
    </w:p>
    <w:p>
      <w:pPr>
        <w:pStyle w:val="Heading1"/>
        <w:keepNext/>
      </w:pPr>
      <w:r>
        <w:rPr>
          <w:rFonts w:ascii="Calibri" w:hAnsi="Calibri"/>
          <w:b/>
          <w:i w:val="0"/>
          <w:color w:val="2E74B5"/>
          <w:sz w:val="32"/>
        </w:rPr>
        <w:t>10. Arquitectura disciplinar del ejemplo completo</w:t>
      </w:r>
    </w:p>
    <w:p>
      <w:pPr>
        <w:spacing w:before="0" w:after="120" w:line="300" w:lineRule="auto"/>
      </w:pPr>
      <w:r>
        <w:rPr>
          <w:rFonts w:ascii="Calibri" w:hAnsi="Calibri"/>
          <w:b w:val="0"/>
          <w:i w:val="0"/>
          <w:sz w:val="22"/>
        </w:rPr>
        <w:t>El ejemplo de Inglés debe ser comunicativo y gradual: se presenta una situación, se comprende el mensaje, se identifica la expresión o estructura, se modela su uso, se practica con apoyo y se produce un mensaje propio.</w:t>
      </w:r>
    </w:p>
    <w:tbl>
      <w:tblPr>
        <w:tblW w:type="dxa" w:w="9360"/>
        <w:jc w:val="left"/>
        <w:tblLayout w:type="fixed"/>
        <w:tblLook w:firstColumn="1" w:firstRow="1" w:lastColumn="0" w:lastRow="0" w:noHBand="0" w:noVBand="1" w:val="04A0"/>
        <w:tblInd w:w="120" w:type="dxa"/>
      </w:tblPr>
      <w:tblGrid>
        <w:gridCol w:w="1250"/>
        <w:gridCol w:w="3900"/>
        <w:gridCol w:w="4210"/>
      </w:tblGrid>
      <w:tr>
        <w:tc>
          <w:tcPr>
            <w:tcW w:type="dxa" w:w="125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Paso</w:t>
            </w:r>
          </w:p>
        </w:tc>
        <w:tc>
          <w:tcPr>
            <w:tcW w:type="dxa" w:w="3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hacer el estudiante</w:t>
            </w:r>
          </w:p>
        </w:tc>
        <w:tc>
          <w:tcPr>
            <w:tcW w:type="dxa" w:w="421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Qué debe mostrar la Lección</w:t>
            </w:r>
          </w:p>
        </w:tc>
      </w:tr>
      <w:tr>
        <w:tc>
          <w:tcPr>
            <w:tcW w:type="dxa" w:w="1250"/>
            <w:shd w:fill="F7FAFC"/>
          </w:tcPr>
          <w:p>
            <w:pPr>
              <w:spacing w:before="0" w:after="0" w:line="276" w:lineRule="auto"/>
            </w:pPr>
            <w:r>
              <w:rPr>
                <w:rFonts w:ascii="Calibri" w:hAnsi="Calibri"/>
                <w:b w:val="0"/>
                <w:i w:val="0"/>
                <w:color w:val="2D343C"/>
                <w:sz w:val="18"/>
              </w:rPr>
              <w:t>1</w:t>
            </w:r>
          </w:p>
        </w:tc>
        <w:tc>
          <w:tcPr>
            <w:tcW w:type="dxa" w:w="3900"/>
            <w:shd w:fill="F7FAFC"/>
          </w:tcPr>
          <w:p>
            <w:pPr>
              <w:spacing w:before="0" w:after="0" w:line="276" w:lineRule="auto"/>
            </w:pPr>
            <w:r>
              <w:rPr>
                <w:rFonts w:ascii="Calibri" w:hAnsi="Calibri"/>
                <w:b w:val="0"/>
                <w:i w:val="0"/>
                <w:color w:val="2D343C"/>
                <w:sz w:val="18"/>
              </w:rPr>
              <w:t>Comprender la situación y el propósito comunicativo.</w:t>
            </w:r>
          </w:p>
        </w:tc>
        <w:tc>
          <w:tcPr>
            <w:tcW w:type="dxa" w:w="4210"/>
            <w:shd w:fill="F7FAFC"/>
          </w:tcPr>
          <w:p>
            <w:pPr>
              <w:spacing w:before="0" w:after="0" w:line="276" w:lineRule="auto"/>
            </w:pPr>
            <w:r>
              <w:rPr>
                <w:rFonts w:ascii="Calibri" w:hAnsi="Calibri"/>
                <w:b w:val="0"/>
                <w:i w:val="0"/>
                <w:color w:val="2D343C"/>
                <w:sz w:val="18"/>
              </w:rPr>
              <w:t>Imagen o diálogo con contexto, hablantes, intención y resultado esperado.</w:t>
            </w:r>
          </w:p>
        </w:tc>
      </w:tr>
      <w:tr>
        <w:tc>
          <w:tcPr>
            <w:tcW w:type="dxa" w:w="1250"/>
            <w:shd w:fill="FFFFFF"/>
          </w:tcPr>
          <w:p>
            <w:pPr>
              <w:spacing w:before="0" w:after="0" w:line="276" w:lineRule="auto"/>
            </w:pPr>
            <w:r>
              <w:rPr>
                <w:rFonts w:ascii="Calibri" w:hAnsi="Calibri"/>
                <w:b w:val="0"/>
                <w:i w:val="0"/>
                <w:color w:val="2D343C"/>
                <w:sz w:val="18"/>
              </w:rPr>
              <w:t>2</w:t>
            </w:r>
          </w:p>
        </w:tc>
        <w:tc>
          <w:tcPr>
            <w:tcW w:type="dxa" w:w="3900"/>
            <w:shd w:fill="FFFFFF"/>
          </w:tcPr>
          <w:p>
            <w:pPr>
              <w:spacing w:before="0" w:after="0" w:line="276" w:lineRule="auto"/>
            </w:pPr>
            <w:r>
              <w:rPr>
                <w:rFonts w:ascii="Calibri" w:hAnsi="Calibri"/>
                <w:b w:val="0"/>
                <w:i w:val="0"/>
                <w:color w:val="2D343C"/>
                <w:sz w:val="18"/>
              </w:rPr>
              <w:t>Identificar palabras o expresiones clave.</w:t>
            </w:r>
          </w:p>
        </w:tc>
        <w:tc>
          <w:tcPr>
            <w:tcW w:type="dxa" w:w="4210"/>
            <w:shd w:fill="FFFFFF"/>
          </w:tcPr>
          <w:p>
            <w:pPr>
              <w:spacing w:before="0" w:after="0" w:line="276" w:lineRule="auto"/>
            </w:pPr>
            <w:r>
              <w:rPr>
                <w:rFonts w:ascii="Calibri" w:hAnsi="Calibri"/>
                <w:b w:val="0"/>
                <w:i w:val="0"/>
                <w:color w:val="2D343C"/>
                <w:sz w:val="18"/>
              </w:rPr>
              <w:t>Significado apoyado por contexto, no por una lista aislada.</w:t>
            </w:r>
          </w:p>
        </w:tc>
      </w:tr>
      <w:tr>
        <w:tc>
          <w:tcPr>
            <w:tcW w:type="dxa" w:w="1250"/>
            <w:shd w:fill="F7FAFC"/>
          </w:tcPr>
          <w:p>
            <w:pPr>
              <w:spacing w:before="0" w:after="0" w:line="276" w:lineRule="auto"/>
            </w:pPr>
            <w:r>
              <w:rPr>
                <w:rFonts w:ascii="Calibri" w:hAnsi="Calibri"/>
                <w:b w:val="0"/>
                <w:i w:val="0"/>
                <w:color w:val="2D343C"/>
                <w:sz w:val="18"/>
              </w:rPr>
              <w:t>3</w:t>
            </w:r>
          </w:p>
        </w:tc>
        <w:tc>
          <w:tcPr>
            <w:tcW w:type="dxa" w:w="3900"/>
            <w:shd w:fill="F7FAFC"/>
          </w:tcPr>
          <w:p>
            <w:pPr>
              <w:spacing w:before="0" w:after="0" w:line="276" w:lineRule="auto"/>
            </w:pPr>
            <w:r>
              <w:rPr>
                <w:rFonts w:ascii="Calibri" w:hAnsi="Calibri"/>
                <w:b w:val="0"/>
                <w:i w:val="0"/>
                <w:color w:val="2D343C"/>
                <w:sz w:val="18"/>
              </w:rPr>
              <w:t>Observar el patrón lingüístico.</w:t>
            </w:r>
          </w:p>
        </w:tc>
        <w:tc>
          <w:tcPr>
            <w:tcW w:type="dxa" w:w="4210"/>
            <w:shd w:fill="F7FAFC"/>
          </w:tcPr>
          <w:p>
            <w:pPr>
              <w:spacing w:before="0" w:after="0" w:line="276" w:lineRule="auto"/>
            </w:pPr>
            <w:r>
              <w:rPr>
                <w:rFonts w:ascii="Calibri" w:hAnsi="Calibri"/>
                <w:b w:val="0"/>
                <w:i w:val="0"/>
                <w:color w:val="2D343C"/>
                <w:sz w:val="18"/>
              </w:rPr>
              <w:t>Se destaca orden, forma verbal, auxiliar, pronombre o conector.</w:t>
            </w:r>
          </w:p>
        </w:tc>
      </w:tr>
      <w:tr>
        <w:tc>
          <w:tcPr>
            <w:tcW w:type="dxa" w:w="1250"/>
            <w:shd w:fill="FFFFFF"/>
          </w:tcPr>
          <w:p>
            <w:pPr>
              <w:spacing w:before="0" w:after="0" w:line="276" w:lineRule="auto"/>
            </w:pPr>
            <w:r>
              <w:rPr>
                <w:rFonts w:ascii="Calibri" w:hAnsi="Calibri"/>
                <w:b w:val="0"/>
                <w:i w:val="0"/>
                <w:color w:val="2D343C"/>
                <w:sz w:val="18"/>
              </w:rPr>
              <w:t>4</w:t>
            </w:r>
          </w:p>
        </w:tc>
        <w:tc>
          <w:tcPr>
            <w:tcW w:type="dxa" w:w="3900"/>
            <w:shd w:fill="FFFFFF"/>
          </w:tcPr>
          <w:p>
            <w:pPr>
              <w:spacing w:before="0" w:after="0" w:line="276" w:lineRule="auto"/>
            </w:pPr>
            <w:r>
              <w:rPr>
                <w:rFonts w:ascii="Calibri" w:hAnsi="Calibri"/>
                <w:b w:val="0"/>
                <w:i w:val="0"/>
                <w:color w:val="2D343C"/>
                <w:sz w:val="18"/>
              </w:rPr>
              <w:t>Modelar la producción.</w:t>
            </w:r>
          </w:p>
        </w:tc>
        <w:tc>
          <w:tcPr>
            <w:tcW w:type="dxa" w:w="4210"/>
            <w:shd w:fill="FFFFFF"/>
          </w:tcPr>
          <w:p>
            <w:pPr>
              <w:spacing w:before="0" w:after="0" w:line="276" w:lineRule="auto"/>
            </w:pPr>
            <w:r>
              <w:rPr>
                <w:rFonts w:ascii="Calibri" w:hAnsi="Calibri"/>
                <w:b w:val="0"/>
                <w:i w:val="0"/>
                <w:color w:val="2D343C"/>
                <w:sz w:val="18"/>
              </w:rPr>
              <w:t>Se construye un ejemplo línea por línea y se explica su significado.</w:t>
            </w:r>
          </w:p>
        </w:tc>
      </w:tr>
      <w:tr>
        <w:tc>
          <w:tcPr>
            <w:tcW w:type="dxa" w:w="1250"/>
            <w:shd w:fill="F7FAFC"/>
          </w:tcPr>
          <w:p>
            <w:pPr>
              <w:spacing w:before="0" w:after="0" w:line="276" w:lineRule="auto"/>
            </w:pPr>
            <w:r>
              <w:rPr>
                <w:rFonts w:ascii="Calibri" w:hAnsi="Calibri"/>
                <w:b w:val="0"/>
                <w:i w:val="0"/>
                <w:color w:val="2D343C"/>
                <w:sz w:val="18"/>
              </w:rPr>
              <w:t>5</w:t>
            </w:r>
          </w:p>
        </w:tc>
        <w:tc>
          <w:tcPr>
            <w:tcW w:type="dxa" w:w="3900"/>
            <w:shd w:fill="F7FAFC"/>
          </w:tcPr>
          <w:p>
            <w:pPr>
              <w:spacing w:before="0" w:after="0" w:line="276" w:lineRule="auto"/>
            </w:pPr>
            <w:r>
              <w:rPr>
                <w:rFonts w:ascii="Calibri" w:hAnsi="Calibri"/>
                <w:b w:val="0"/>
                <w:i w:val="0"/>
                <w:color w:val="2D343C"/>
                <w:sz w:val="18"/>
              </w:rPr>
              <w:t>Practicar con sustitución y elección.</w:t>
            </w:r>
          </w:p>
        </w:tc>
        <w:tc>
          <w:tcPr>
            <w:tcW w:type="dxa" w:w="4210"/>
            <w:shd w:fill="F7FAFC"/>
          </w:tcPr>
          <w:p>
            <w:pPr>
              <w:spacing w:before="0" w:after="0" w:line="276" w:lineRule="auto"/>
            </w:pPr>
            <w:r>
              <w:rPr>
                <w:rFonts w:ascii="Calibri" w:hAnsi="Calibri"/>
                <w:b w:val="0"/>
                <w:i w:val="0"/>
                <w:color w:val="2D343C"/>
                <w:sz w:val="18"/>
              </w:rPr>
              <w:t>El estudiante cambia una parte manteniendo el patrón.</w:t>
            </w:r>
          </w:p>
        </w:tc>
      </w:tr>
      <w:tr>
        <w:tc>
          <w:tcPr>
            <w:tcW w:type="dxa" w:w="1250"/>
            <w:shd w:fill="FFFFFF"/>
          </w:tcPr>
          <w:p>
            <w:pPr>
              <w:spacing w:before="0" w:after="0" w:line="276" w:lineRule="auto"/>
            </w:pPr>
            <w:r>
              <w:rPr>
                <w:rFonts w:ascii="Calibri" w:hAnsi="Calibri"/>
                <w:b w:val="0"/>
                <w:i w:val="0"/>
                <w:color w:val="2D343C"/>
                <w:sz w:val="18"/>
              </w:rPr>
              <w:t>6</w:t>
            </w:r>
          </w:p>
        </w:tc>
        <w:tc>
          <w:tcPr>
            <w:tcW w:type="dxa" w:w="3900"/>
            <w:shd w:fill="FFFFFF"/>
          </w:tcPr>
          <w:p>
            <w:pPr>
              <w:spacing w:before="0" w:after="0" w:line="276" w:lineRule="auto"/>
            </w:pPr>
            <w:r>
              <w:rPr>
                <w:rFonts w:ascii="Calibri" w:hAnsi="Calibri"/>
                <w:b w:val="0"/>
                <w:i w:val="0"/>
                <w:color w:val="2D343C"/>
                <w:sz w:val="18"/>
              </w:rPr>
              <w:t>Usar el lenguaje en una situación nueva.</w:t>
            </w:r>
          </w:p>
        </w:tc>
        <w:tc>
          <w:tcPr>
            <w:tcW w:type="dxa" w:w="4210"/>
            <w:shd w:fill="FFFFFF"/>
          </w:tcPr>
          <w:p>
            <w:pPr>
              <w:spacing w:before="0" w:after="0" w:line="276" w:lineRule="auto"/>
            </w:pPr>
            <w:r>
              <w:rPr>
                <w:rFonts w:ascii="Calibri" w:hAnsi="Calibri"/>
                <w:b w:val="0"/>
                <w:i w:val="0"/>
                <w:color w:val="2D343C"/>
                <w:sz w:val="18"/>
              </w:rPr>
              <w:t>Mini diálogo, respuesta escrita o decisión comunicativa con feedback.</w:t>
            </w:r>
          </w:p>
        </w:tc>
      </w:tr>
    </w:tbl>
    <w:p>
      <w:pPr>
        <w:spacing w:after="40"/>
      </w:pPr>
    </w:p>
    <w:p>
      <w:pPr>
        <w:pStyle w:val="Heading1"/>
        <w:keepNext/>
      </w:pPr>
      <w:r>
        <w:rPr>
          <w:rFonts w:ascii="Calibri" w:hAnsi="Calibri"/>
          <w:b/>
          <w:i w:val="0"/>
          <w:color w:val="2E74B5"/>
          <w:sz w:val="32"/>
        </w:rPr>
        <w:t>11. Práctica guiada, feedback y transferencia</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Fase</w:t>
            </w:r>
          </w:p>
        </w:tc>
        <w:tc>
          <w:tcPr>
            <w:tcW w:type="dxa" w:w="7460"/>
            <w:tcMar>
              <w:top w:w="80" w:type="dxa"/>
              <w:start w:w="120" w:type="dxa"/>
              <w:bottom w:w="80" w:type="dxa"/>
              <w:end w:w="120" w:type="dxa"/>
            </w:tcMar>
            <w:vAlign w:val="center"/>
            <w:shd w:fill="E8EEF5"/>
          </w:tcPr>
          <w:p>
            <w:pPr>
              <w:spacing w:before="0" w:after="0" w:line="276" w:lineRule="auto"/>
            </w:pPr>
            <w:r>
              <w:rPr>
                <w:rFonts w:ascii="Calibri" w:hAnsi="Calibri"/>
                <w:b/>
                <w:i w:val="0"/>
                <w:color w:val="1F4D78"/>
                <w:sz w:val="19"/>
              </w:rPr>
              <w:t>Regla disciplinar</w:t>
            </w:r>
          </w:p>
        </w:tc>
      </w:tr>
      <w:tr>
        <w:tc>
          <w:tcPr>
            <w:tcW w:type="dxa" w:w="1900"/>
            <w:shd w:fill="F7FAFC"/>
          </w:tcPr>
          <w:p>
            <w:pPr>
              <w:spacing w:before="0" w:after="0" w:line="276" w:lineRule="auto"/>
            </w:pPr>
            <w:r>
              <w:rPr>
                <w:rFonts w:ascii="Calibri" w:hAnsi="Calibri"/>
                <w:b w:val="0"/>
                <w:i w:val="0"/>
                <w:color w:val="2D343C"/>
                <w:sz w:val="18"/>
              </w:rPr>
              <w:t>Guiada</w:t>
            </w:r>
          </w:p>
        </w:tc>
        <w:tc>
          <w:tcPr>
            <w:tcW w:type="dxa" w:w="7460"/>
            <w:shd w:fill="F7FAFC"/>
          </w:tcPr>
          <w:p>
            <w:pPr>
              <w:spacing w:before="0" w:after="0" w:line="276" w:lineRule="auto"/>
            </w:pPr>
            <w:r>
              <w:rPr>
                <w:rFonts w:ascii="Calibri" w:hAnsi="Calibri"/>
                <w:b w:val="0"/>
                <w:i w:val="0"/>
                <w:color w:val="2D343C"/>
                <w:sz w:val="18"/>
              </w:rPr>
              <w:t>Se completa un diálogo o texto con apoyos visuales y banco limitado de palabras.</w:t>
            </w:r>
          </w:p>
        </w:tc>
      </w:tr>
      <w:tr>
        <w:tc>
          <w:tcPr>
            <w:tcW w:type="dxa" w:w="1900"/>
            <w:shd w:fill="FFFFFF"/>
          </w:tcPr>
          <w:p>
            <w:pPr>
              <w:spacing w:before="0" w:after="0" w:line="276" w:lineRule="auto"/>
            </w:pPr>
            <w:r>
              <w:rPr>
                <w:rFonts w:ascii="Calibri" w:hAnsi="Calibri"/>
                <w:b w:val="0"/>
                <w:i w:val="0"/>
                <w:color w:val="2D343C"/>
                <w:sz w:val="18"/>
              </w:rPr>
              <w:t>Feedback</w:t>
            </w:r>
          </w:p>
        </w:tc>
        <w:tc>
          <w:tcPr>
            <w:tcW w:type="dxa" w:w="7460"/>
            <w:shd w:fill="FFFFFF"/>
          </w:tcPr>
          <w:p>
            <w:pPr>
              <w:spacing w:before="0" w:after="0" w:line="276" w:lineRule="auto"/>
            </w:pPr>
            <w:r>
              <w:rPr>
                <w:rFonts w:ascii="Calibri" w:hAnsi="Calibri"/>
                <w:b w:val="0"/>
                <w:i w:val="0"/>
                <w:color w:val="2D343C"/>
                <w:sz w:val="18"/>
              </w:rPr>
              <w:t>Se corrigen significado, orden, forma y pronunciación; se explica el efecto comunicativo del error.</w:t>
            </w:r>
          </w:p>
        </w:tc>
      </w:tr>
      <w:tr>
        <w:tc>
          <w:tcPr>
            <w:tcW w:type="dxa" w:w="1900"/>
            <w:shd w:fill="F7FAFC"/>
          </w:tcPr>
          <w:p>
            <w:pPr>
              <w:spacing w:before="0" w:after="0" w:line="276" w:lineRule="auto"/>
            </w:pPr>
            <w:r>
              <w:rPr>
                <w:rFonts w:ascii="Calibri" w:hAnsi="Calibri"/>
                <w:b w:val="0"/>
                <w:i w:val="0"/>
                <w:color w:val="2D343C"/>
                <w:sz w:val="18"/>
              </w:rPr>
              <w:t>Transferencia</w:t>
            </w:r>
          </w:p>
        </w:tc>
        <w:tc>
          <w:tcPr>
            <w:tcW w:type="dxa" w:w="7460"/>
            <w:shd w:fill="F7FAFC"/>
          </w:tcPr>
          <w:p>
            <w:pPr>
              <w:spacing w:before="0" w:after="0" w:line="276" w:lineRule="auto"/>
            </w:pPr>
            <w:r>
              <w:rPr>
                <w:rFonts w:ascii="Calibri" w:hAnsi="Calibri"/>
                <w:b w:val="0"/>
                <w:i w:val="0"/>
                <w:color w:val="2D343C"/>
                <w:sz w:val="18"/>
              </w:rPr>
              <w:t>Se cambia interlocutor, propósito o contexto para verificar uso funcional, no memorización.</w:t>
            </w:r>
          </w:p>
        </w:tc>
      </w:tr>
    </w:tbl>
    <w:p>
      <w:pPr>
        <w:spacing w:after="40"/>
      </w:pPr>
    </w:p>
    <w:p>
      <w:pPr>
        <w:pStyle w:val="Heading1"/>
        <w:keepNext/>
      </w:pPr>
      <w:r>
        <w:rPr>
          <w:rFonts w:ascii="Calibri" w:hAnsi="Calibri"/>
          <w:b/>
          <w:i w:val="0"/>
          <w:color w:val="2E74B5"/>
          <w:sz w:val="32"/>
        </w:rPr>
        <w:t>12. Errores que el plan debe prevenir</w:t>
      </w:r>
    </w:p>
    <w:p>
      <w:pPr>
        <w:pStyle w:val="ListBullet"/>
        <w:spacing w:before="0" w:after="80" w:line="300" w:lineRule="auto"/>
      </w:pPr>
      <w:r>
        <w:rPr>
          <w:rFonts w:ascii="Calibri" w:hAnsi="Calibri"/>
          <w:b w:val="0"/>
          <w:i w:val="0"/>
          <w:color w:val="232A32"/>
          <w:sz w:val="21"/>
        </w:rPr>
        <w:t>Presentar vocabulario sin contexto comunicativo.</w:t>
      </w:r>
    </w:p>
    <w:p>
      <w:pPr>
        <w:pStyle w:val="ListBullet"/>
        <w:spacing w:before="0" w:after="80" w:line="300" w:lineRule="auto"/>
      </w:pPr>
      <w:r>
        <w:rPr>
          <w:rFonts w:ascii="Calibri" w:hAnsi="Calibri"/>
          <w:b w:val="0"/>
          <w:i w:val="0"/>
          <w:color w:val="232A32"/>
          <w:sz w:val="21"/>
        </w:rPr>
        <w:t>Explicar una regla en español sin mostrar su uso en un mensaje.</w:t>
      </w:r>
    </w:p>
    <w:p>
      <w:pPr>
        <w:pStyle w:val="ListBullet"/>
        <w:spacing w:before="0" w:after="80" w:line="300" w:lineRule="auto"/>
      </w:pPr>
      <w:r>
        <w:rPr>
          <w:rFonts w:ascii="Calibri" w:hAnsi="Calibri"/>
          <w:b w:val="0"/>
          <w:i w:val="0"/>
          <w:color w:val="232A32"/>
          <w:sz w:val="21"/>
        </w:rPr>
        <w:t>Pedir producción libre antes de modelar una respuesta.</w:t>
      </w:r>
    </w:p>
    <w:p>
      <w:pPr>
        <w:pStyle w:val="ListBullet"/>
        <w:spacing w:before="0" w:after="80" w:line="300" w:lineRule="auto"/>
      </w:pPr>
      <w:r>
        <w:rPr>
          <w:rFonts w:ascii="Calibri" w:hAnsi="Calibri"/>
          <w:b w:val="0"/>
          <w:i w:val="0"/>
          <w:color w:val="232A32"/>
          <w:sz w:val="21"/>
        </w:rPr>
        <w:t>Corregir solo la forma y no explicar el significado.</w:t>
      </w:r>
    </w:p>
    <w:p>
      <w:pPr>
        <w:pStyle w:val="ListBullet"/>
        <w:spacing w:before="0" w:after="80" w:line="300" w:lineRule="auto"/>
      </w:pPr>
      <w:r>
        <w:rPr>
          <w:rFonts w:ascii="Calibri" w:hAnsi="Calibri"/>
          <w:b w:val="0"/>
          <w:i w:val="0"/>
          <w:color w:val="232A32"/>
          <w:sz w:val="21"/>
        </w:rPr>
        <w:t>Usar diálogos artificiales sin propósito o situación reconocible.</w:t>
      </w:r>
    </w:p>
    <w:p>
      <w:pPr>
        <w:pStyle w:val="Heading1"/>
        <w:keepNext/>
      </w:pPr>
      <w:r>
        <w:rPr>
          <w:rFonts w:ascii="Calibri" w:hAnsi="Calibri"/>
          <w:b/>
          <w:i w:val="0"/>
          <w:color w:val="2E74B5"/>
          <w:sz w:val="32"/>
        </w:rPr>
        <w:t>13. Indicadores de una Lección comprensible</w:t>
      </w:r>
    </w:p>
    <w:p>
      <w:pPr>
        <w:pStyle w:val="ListBullet"/>
        <w:spacing w:before="0" w:after="80" w:line="300" w:lineRule="auto"/>
      </w:pPr>
      <w:r>
        <w:rPr>
          <w:rFonts w:ascii="Calibri" w:hAnsi="Calibri"/>
          <w:b w:val="0"/>
          <w:i w:val="0"/>
          <w:color w:val="232A32"/>
          <w:sz w:val="21"/>
        </w:rPr>
        <w:t>El modelo incluye significado y forma.</w:t>
      </w:r>
    </w:p>
    <w:p>
      <w:pPr>
        <w:pStyle w:val="ListBullet"/>
        <w:spacing w:before="0" w:after="80" w:line="300" w:lineRule="auto"/>
      </w:pPr>
      <w:r>
        <w:rPr>
          <w:rFonts w:ascii="Calibri" w:hAnsi="Calibri"/>
          <w:b w:val="0"/>
          <w:i w:val="0"/>
          <w:color w:val="232A32"/>
          <w:sz w:val="21"/>
        </w:rPr>
        <w:t>El estudiante puede reutilizar el patrón con palabras nuevas.</w:t>
      </w:r>
    </w:p>
    <w:p>
      <w:pPr>
        <w:pStyle w:val="ListBullet"/>
        <w:spacing w:before="0" w:after="80" w:line="300" w:lineRule="auto"/>
      </w:pPr>
      <w:r>
        <w:rPr>
          <w:rFonts w:ascii="Calibri" w:hAnsi="Calibri"/>
          <w:b w:val="0"/>
          <w:i w:val="0"/>
          <w:color w:val="232A32"/>
          <w:sz w:val="21"/>
        </w:rPr>
        <w:t>La práctica avanza de controlada a comunicativa.</w:t>
      </w:r>
    </w:p>
    <w:p>
      <w:pPr>
        <w:pStyle w:val="ListBullet"/>
        <w:spacing w:before="0" w:after="80" w:line="300" w:lineRule="auto"/>
      </w:pPr>
      <w:r>
        <w:rPr>
          <w:rFonts w:ascii="Calibri" w:hAnsi="Calibri"/>
          <w:b w:val="0"/>
          <w:i w:val="0"/>
          <w:color w:val="232A32"/>
          <w:sz w:val="21"/>
        </w:rPr>
        <w:t>El feedback diferencia error de significado, forma, orden y pronunciación.</w:t>
      </w:r>
    </w:p>
    <w:p>
      <w:pPr>
        <w:pStyle w:val="Heading1"/>
        <w:keepNext/>
      </w:pPr>
      <w:r>
        <w:rPr>
          <w:rFonts w:ascii="Calibri" w:hAnsi="Calibri"/>
          <w:b/>
          <w:i w:val="0"/>
          <w:color w:val="2E74B5"/>
          <w:sz w:val="32"/>
        </w:rPr>
        <w:t>14. Criterio de cierre del OA</w:t>
      </w:r>
    </w:p>
    <w:p>
      <w:pPr>
        <w:spacing w:before="0" w:after="120" w:line="300" w:lineRule="auto"/>
      </w:pPr>
      <w:r>
        <w:rPr>
          <w:rFonts w:ascii="Calibri" w:hAnsi="Calibri"/>
          <w:b w:val="0"/>
          <w:i w:val="0"/>
          <w:sz w:val="22"/>
        </w:rPr>
        <w:t>Un OA queda cerrado solo cuando el estudiante puede reconocer la herramienta, observar un ejemplo completo, resolver un caso con apoyo, responder un caso autónomo y explicar qué evidencia o procedimiento sostiene su respuesta. La producción visual, el ZIP y la persistencia son condiciones técnicas necesarias, pero no sustituyen la comprensión.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F3FA"/>
          </w:tcPr>
          <w:p>
            <w:r>
              <w:t>FÓRMULA DE APROBACIÓN  Meta clara + ejemplo completo + práctica guiada + respuesta + feedback + transferencia + imagen visible y funcional + notas al orador reales + QA visual/técnico + entrega verificable.</w:t>
            </w:r>
          </w:p>
        </w:tc>
      </w:tr>
    </w:tbl>
    <w:p>
      <w:pPr>
        <w:spacing w:after="40"/>
      </w:pPr>
    </w:p>
    <w:p>
      <w:r>
        <w:rPr>
          <w:b/>
        </w:rPr>
        <w:t>REGLA TRANSVERSAL: Todos los materiales visuales deberán representar diversidad étnico-racial (distintos tonos de piel, rasgos y procedencias) en protagonistas y grupos, evitando que la piel blanca sea el estándar y verificándolo en el control visual antes de entregar.</w:t>
      </w:r>
    </w:p>
    <w:p>
      <w:pPr>
        <w:pStyle w:val="Heading1"/>
      </w:pPr>
      <w:r>
        <w:t>15. Regla bloqueante de diseño visual y notas al orador</w:t>
      </w:r>
    </w:p>
    <w:p>
      <w:r>
        <w:t>Esta sección se incorpora como puerta obligatoria de producción. Su incumplimiento convierte el material en NO ENTREGABLE, aunque el PPTX abra correctamente y el ZIP esté íntegro.</w:t>
      </w:r>
    </w:p>
    <w:p>
      <w:pPr>
        <w:pStyle w:val="ListBullet"/>
      </w:pPr>
      <w:r>
        <w:t>Sistema preferente: split layout limpio. La imagen y el texto deben disponer de áreas propias; si existe espacio negativo, se aprovecha sin añadir una máscara oscura adicional.</w:t>
      </w:r>
    </w:p>
    <w:p>
      <w:pPr>
        <w:pStyle w:val="ListBullet"/>
      </w:pPr>
      <w:r>
        <w:t>Overlay controlado: solo se utiliza cuando sea necesario para legibilidad. Debe ser liviano y localizado; nunca debe cubrir al protagonista ni la evidencia visual principal.</w:t>
      </w:r>
    </w:p>
    <w:p>
      <w:pPr>
        <w:pStyle w:val="ListBullet"/>
      </w:pPr>
      <w:r>
        <w:t>Prohibición: no se permite una placa oscura semitransparente que cubra aproximadamente media diapositiva con alta opacidad y reduzca sustancialmente la lectura de la escena.</w:t>
      </w:r>
    </w:p>
    <w:p>
      <w:pPr>
        <w:pStyle w:val="ListBullet"/>
      </w:pPr>
      <w:r>
        <w:t>QA de contraste: cada diapositiva se revisa renderizada. Debe poder leerse el texto y, al mismo tiempo, reconocerse con claridad la escena, el protagonista y los elementos didácticos.</w:t>
      </w:r>
    </w:p>
    <w:p>
      <w:pPr>
        <w:pStyle w:val="ListBullet"/>
      </w:pPr>
      <w:r>
        <w:t>QA de continuidad: el protagonista del Gancho se conserva en la Lección y mantiene edad aparente, rasgos, tono de piel, cabello y elementos de identidad visual, salvo cambio narrativo explícitamente justificado.</w:t>
      </w:r>
    </w:p>
    <w:p>
      <w:pPr>
        <w:pStyle w:val="ListBullet"/>
      </w:pPr>
      <w:r>
        <w:t>QA de notas: las notas se inspeccionan dentro del PPTX. El guion debe ser texto real, legible y completo. “[object Object]”, notas vacías o numeración aislada provocan rechazo automático.</w:t>
      </w:r>
    </w:p>
    <w:p>
      <w:pPr>
        <w:pStyle w:val="ListBullet"/>
      </w:pPr>
      <w:r>
        <w:t>Correspondencia obligatoria: slide-01.png ↔ diapositiva 1 ↔ bloque slide-01.png de GUION.txt; la misma regla se aplica a todas las diapositivas.</w:t>
      </w:r>
    </w:p>
    <w:p>
      <w:pPr>
        <w:pStyle w:val="ListBullet"/>
      </w:pPr>
      <w:r>
        <w:t>Revisión final: antes de crear el ZIP se genera un montaje de todas las diapositivas y se revisa de forma visual. Después se abre el PPTX y se inspeccionan las notas. Solo entonces se empaqueta y entrega.</w:t>
      </w:r>
    </w:p>
    <w:tbl>
      <w:tblPr>
        <w:tblW w:type="auto" w:w="0"/>
        <w:tblLook w:firstColumn="1" w:firstRow="1" w:lastColumn="0" w:lastRow="0" w:noHBand="0" w:noVBand="1" w:val="04A0"/>
      </w:tblPr>
      <w:tblGrid>
        <w:gridCol w:w="9360"/>
      </w:tblGrid>
      <w:tr>
        <w:tc>
          <w:tcPr>
            <w:tcW w:type="dxa" w:w="9360"/>
          </w:tcPr>
          <w:p>
            <w:r>
              <w:t>NO ENTREGABLE  Si una máscara domina la imagen, si el protagonista pierde continuidad, o si las notas al orador no contienen el guion real, el OA vuelve a producción antes de crear el ZIP final.</w:t>
            </w:r>
          </w:p>
        </w:tc>
      </w:tr>
    </w:tbl>
    <w:p>
      <w:r>
        <w:br w:type="page"/>
      </w:r>
    </w:p>
    <w:p>
      <w:pPr>
        <w:jc w:val="center"/>
      </w:pPr>
      <w:r>
        <w:rPr>
          <w:b/>
          <w:sz w:val="32"/>
        </w:rPr>
        <w:t>ACTUALIZACIÓN CRÍTICA · VERSIÓN 1.3</w:t>
      </w:r>
    </w:p>
    <w:p>
      <w:pPr>
        <w:jc w:val="center"/>
      </w:pPr>
      <w:r>
        <w:rPr>
          <w:i/>
          <w:sz w:val="22"/>
        </w:rPr>
        <w:t>Corrección obligatoria del sistema visual, las notas al orador y la QA final</w:t>
      </w:r>
    </w:p>
    <w:p>
      <w:pPr>
        <w:pStyle w:val="Heading1"/>
      </w:pPr>
      <w:r>
        <w:t>1. Propósito de esta actualización</w:t>
      </w:r>
    </w:p>
    <w:p>
      <w:r>
        <w:t>Esta versión 1.3 corrige fallos detectados en la producción del OA09 de Inglés. Las reglas de este anexo son obligatorias y reemplazan cualquier práctica anterior que permita máscaras globales, notas al orador incompletas o verificaciones solo técnicas.</w:t>
      </w:r>
    </w:p>
    <w:p>
      <w:pPr>
        <w:pStyle w:val="Heading1"/>
      </w:pPr>
      <w:r>
        <w:t>2. Regla visual principal: prohibición de máscaras globales</w:t>
      </w:r>
    </w:p>
    <w:p>
      <w:r>
        <w:t>Queda estrictamente prohibido colocar rectángulos, overlays, gradientes o máscaras oscuras que cubran una parte significativa de la imagen para alojar texto.</w:t>
      </w:r>
    </w:p>
    <w:p>
      <w:pPr>
        <w:pStyle w:val="ListBullet"/>
      </w:pPr>
      <w:r>
        <w:t>No se permiten paneles oscuros de media diapositiva ni bloques dominantes sobre la escena.</w:t>
      </w:r>
    </w:p>
    <w:p>
      <w:pPr>
        <w:pStyle w:val="ListBullet"/>
      </w:pPr>
      <w:r>
        <w:t>La imagen debe permanecer visible, limpia y pedagógicamente funcional.</w:t>
      </w:r>
    </w:p>
    <w:p>
      <w:pPr>
        <w:pStyle w:val="ListBullet"/>
      </w:pPr>
      <w:r>
        <w:t>No se debe “bajar la opacidad” de una máscara si la máscara no es necesaria. En ese caso, se elimina.</w:t>
      </w:r>
    </w:p>
    <w:p>
      <w:pPr>
        <w:pStyle w:val="Heading1"/>
      </w:pPr>
      <w:r>
        <w:t>3. Sistema de composición obligatorio</w:t>
      </w:r>
    </w:p>
    <w:p>
      <w:r>
        <w:t>Las diapositivas deben construirse con la lógica de “imagen con espacio negativo” y no con la lógica de “imagen tapada por panel”.</w:t>
      </w:r>
    </w:p>
    <w:p>
      <w:pPr>
        <w:pStyle w:val="ListBullet"/>
      </w:pPr>
      <w:r>
        <w:t>La imagen final debe generarse o seleccionarse con espacio negativo suficiente para alojar títulos y textos breves.</w:t>
      </w:r>
    </w:p>
    <w:p>
      <w:pPr>
        <w:pStyle w:val="ListBullet"/>
      </w:pPr>
      <w:r>
        <w:t>El texto debe ubicarse directamente en el espacio negativo de la composición.</w:t>
      </w:r>
    </w:p>
    <w:p>
      <w:pPr>
        <w:pStyle w:val="ListBullet"/>
      </w:pPr>
      <w:r>
        <w:t>Solo se permiten etiquetas locales pequeñas si una frase puntual necesita contraste extra.</w:t>
      </w:r>
    </w:p>
    <w:p>
      <w:pPr>
        <w:pStyle w:val="ListBullet"/>
      </w:pPr>
      <w:r>
        <w:t>Las etiquetas locales deben ajustarse estrictamente al texto y no invadir el escenario ni al protagonista.</w:t>
      </w:r>
    </w:p>
    <w:p>
      <w:pPr>
        <w:pStyle w:val="Heading1"/>
      </w:pPr>
      <w:r>
        <w:t>4. Criterios de contraste y legibilidad</w:t>
      </w:r>
    </w:p>
    <w:p>
      <w:pPr>
        <w:pStyle w:val="ListBullet"/>
      </w:pPr>
      <w:r>
        <w:t>Si el fondo es claro, se prefiere texto oscuro.</w:t>
      </w:r>
    </w:p>
    <w:p>
      <w:pPr>
        <w:pStyle w:val="ListBullet"/>
      </w:pPr>
      <w:r>
        <w:t>Si el fondo es oscuro, se prefiere texto blanco.</w:t>
      </w:r>
    </w:p>
    <w:p>
      <w:pPr>
        <w:pStyle w:val="ListBullet"/>
      </w:pPr>
      <w:r>
        <w:t>El contraste se resuelve primero con composición y color tipográfico; solo en último caso con una etiqueta local.</w:t>
      </w:r>
    </w:p>
    <w:p>
      <w:pPr>
        <w:pStyle w:val="ListBullet"/>
      </w:pPr>
      <w:r>
        <w:t>No se utilizarán colores de bajo contraste que comprometan la lectura.</w:t>
      </w:r>
    </w:p>
    <w:p>
      <w:pPr>
        <w:pStyle w:val="Heading1"/>
      </w:pPr>
      <w:r>
        <w:t>5. Regla de visibilidad pedagógica</w:t>
      </w:r>
    </w:p>
    <w:p>
      <w:r>
        <w:t>Toda diapositiva debe permitir reconocer con claridad el protagonista, la acción, el contexto y la evidencia visual que apoya el aprendizaje.</w:t>
      </w:r>
    </w:p>
    <w:p>
      <w:pPr>
        <w:pStyle w:val="ListBullet"/>
      </w:pPr>
      <w:r>
        <w:t>Si el texto o un contenedor tapa el rostro del protagonista, la diapositiva se considera fallida.</w:t>
      </w:r>
    </w:p>
    <w:p>
      <w:pPr>
        <w:pStyle w:val="ListBullet"/>
      </w:pPr>
      <w:r>
        <w:t>Si el texto tapa la evidencia conceptual o el recurso visual principal, la diapositiva se considera fallida.</w:t>
      </w:r>
    </w:p>
    <w:p>
      <w:pPr>
        <w:pStyle w:val="ListBullet"/>
      </w:pPr>
      <w:r>
        <w:t>La imagen debe “respirar”: no puede sentirse aprisionada por carteles, recuadros o placas innecesarias.</w:t>
      </w:r>
    </w:p>
    <w:p>
      <w:pPr>
        <w:pStyle w:val="Heading1"/>
      </w:pPr>
      <w:r>
        <w:t>6. Continuidad visual obligatoria</w:t>
      </w:r>
    </w:p>
    <w:p>
      <w:r>
        <w:t>Entre Gancho y Lección debe mantenerse el mismo protagonista del OA, salvo instrucción explícita en contrario.</w:t>
      </w:r>
    </w:p>
    <w:p>
      <w:pPr>
        <w:pStyle w:val="ListBullet"/>
      </w:pPr>
      <w:r>
        <w:t>La continuidad se revisa en identidad general, colorimetría, edad aparente, vestuario base y rol narrativo.</w:t>
      </w:r>
    </w:p>
    <w:p>
      <w:pPr>
        <w:pStyle w:val="ListBullet"/>
      </w:pPr>
      <w:r>
        <w:t>Se puede cambiar el escenario cuando exista una razón didáctica, pero no el protagonista principal sin justificación.</w:t>
      </w:r>
    </w:p>
    <w:p>
      <w:pPr>
        <w:pStyle w:val="Heading1"/>
      </w:pPr>
      <w:r>
        <w:t>7. Notas al orador: idioma y función</w:t>
      </w:r>
    </w:p>
    <w:p>
      <w:r>
        <w:t>Las notas al orador son obligatorias en todas las presentaciones y constituyen el guion pedagógico completo para audio o locución.</w:t>
      </w:r>
    </w:p>
    <w:p>
      <w:pPr>
        <w:pStyle w:val="ListBullet"/>
      </w:pPr>
      <w:r>
        <w:t>Las notas deben estar redactadas principalmente en español.</w:t>
      </w:r>
    </w:p>
    <w:p>
      <w:pPr>
        <w:pStyle w:val="ListBullet"/>
      </w:pPr>
      <w:r>
        <w:t>El inglés se incorpora solo cuando sea necesario para el aprendizaje de la asignatura.</w:t>
      </w:r>
    </w:p>
    <w:p>
      <w:pPr>
        <w:pStyle w:val="ListBullet"/>
      </w:pPr>
      <w:r>
        <w:t>El guion debe explicar lo que se observa, qué se espera que piense o responda el estudiante y cómo se conecta con la diapositiva siguiente.</w:t>
      </w:r>
    </w:p>
    <w:p>
      <w:pPr>
        <w:pStyle w:val="ListBullet"/>
      </w:pPr>
      <w:r>
        <w:t>No basta incluir GUION.txt en el ZIP: el contenido debe quedar integrado en las notas del PPTX, diapositiva por diapositiva.</w:t>
      </w:r>
    </w:p>
    <w:p>
      <w:pPr>
        <w:pStyle w:val="Heading1"/>
      </w:pPr>
      <w:r>
        <w:t>8. Prohibiciones absolutas en notas al orador</w:t>
      </w:r>
    </w:p>
    <w:p>
      <w:pPr>
        <w:pStyle w:val="ListBullet"/>
      </w:pPr>
      <w:r>
        <w:t>No se entregan notas vacías.</w:t>
      </w:r>
    </w:p>
    <w:p>
      <w:pPr>
        <w:pStyle w:val="ListBullet"/>
      </w:pPr>
      <w:r>
        <w:t>No se entregan notas solo con numeración.</w:t>
      </w:r>
    </w:p>
    <w:p>
      <w:pPr>
        <w:pStyle w:val="ListBullet"/>
      </w:pPr>
      <w:r>
        <w:t>No se aceptan placeholders ni errores como “[object Object]”.</w:t>
      </w:r>
    </w:p>
    <w:p>
      <w:pPr>
        <w:pStyle w:val="ListBullet"/>
      </w:pPr>
      <w:r>
        <w:t>No se aceptan notas completas en inglés si la función es de guion pedagógico general.</w:t>
      </w:r>
    </w:p>
    <w:p>
      <w:pPr>
        <w:pStyle w:val="Heading1"/>
      </w:pPr>
      <w:r>
        <w:t>9. QA obligatoria antes de entregar</w:t>
      </w:r>
    </w:p>
    <w:p>
      <w:r>
        <w:t>La revisión final tiene dos puertas obligatorias: visual y funcional.</w:t>
      </w:r>
    </w:p>
    <w:p>
      <w:pPr>
        <w:pStyle w:val="ListBullet"/>
      </w:pPr>
      <w:r>
        <w:t>QA visual: revisar todas las diapositivas renderizadas y compararlas con la imagen base para confirmar que no se añadió ninguna máscara global innecesaria.</w:t>
      </w:r>
    </w:p>
    <w:p>
      <w:pPr>
        <w:pStyle w:val="ListBullet"/>
      </w:pPr>
      <w:r>
        <w:t>QA visual: verificar que el protagonista, el escenario y la evidencia didáctica sigan visibles.</w:t>
      </w:r>
    </w:p>
    <w:p>
      <w:pPr>
        <w:pStyle w:val="ListBullet"/>
      </w:pPr>
      <w:r>
        <w:t>QA visual: comprobar que el texto está contenido, legible y no se convirtió en cartel dominante.</w:t>
      </w:r>
    </w:p>
    <w:p>
      <w:pPr>
        <w:pStyle w:val="ListBullet"/>
      </w:pPr>
      <w:r>
        <w:t>QA funcional: abrir el PPTX en vista de notas y comprobar como mínimo la primera, una intermedia y la última diapositiva.</w:t>
      </w:r>
    </w:p>
    <w:p>
      <w:pPr>
        <w:pStyle w:val="ListBullet"/>
      </w:pPr>
      <w:r>
        <w:t>QA funcional: confirmar que las notas aparecen visualmente y que están en español, con inglés solo cuando corresponde.</w:t>
      </w:r>
    </w:p>
    <w:p>
      <w:pPr>
        <w:pStyle w:val="ListBullet"/>
      </w:pPr>
      <w:r>
        <w:t>QA funcional: comprobar que el PPTX abre correctamente y que no hay desbordes ni cortes.</w:t>
      </w:r>
    </w:p>
    <w:p>
      <w:pPr>
        <w:pStyle w:val="Heading1"/>
      </w:pPr>
      <w:r>
        <w:t>10. Criterio de rechazo</w:t>
      </w:r>
    </w:p>
    <w:p>
      <w:r>
        <w:t>La presentación se considera NO ENTREGABLE si ocurre cualquiera de las siguientes situaciones:</w:t>
      </w:r>
    </w:p>
    <w:p>
      <w:pPr>
        <w:pStyle w:val="ListBullet"/>
      </w:pPr>
      <w:r>
        <w:t>aparece una máscara global innecesaria sobre la imagen;</w:t>
      </w:r>
    </w:p>
    <w:p>
      <w:pPr>
        <w:pStyle w:val="ListBullet"/>
      </w:pPr>
      <w:r>
        <w:t>el protagonista o la evidencia visual quedan tapados;</w:t>
      </w:r>
    </w:p>
    <w:p>
      <w:pPr>
        <w:pStyle w:val="ListBullet"/>
      </w:pPr>
      <w:r>
        <w:t>las notas al orador no se ven al abrir el archivo;</w:t>
      </w:r>
    </w:p>
    <w:p>
      <w:pPr>
        <w:pStyle w:val="ListBullet"/>
      </w:pPr>
      <w:r>
        <w:t>las notas están vacías, en el idioma incorrecto o con placeholders;</w:t>
      </w:r>
    </w:p>
    <w:p>
      <w:pPr>
        <w:pStyle w:val="ListBullet"/>
      </w:pPr>
      <w:r>
        <w:t>el resultado no respeta la continuidad Gancho → Lección.</w:t>
      </w:r>
    </w:p>
    <w:p>
      <w:pPr>
        <w:pStyle w:val="Heading1"/>
      </w:pPr>
      <w:r>
        <w:t>11. Orden de trabajo obligatorio a partir de v1.3</w:t>
      </w:r>
    </w:p>
    <w:p>
      <w:pPr>
        <w:pStyle w:val="ListBullet"/>
      </w:pPr>
      <w:r>
        <w:t>Primero se actualiza la regla o plantilla si aparece un error sistémico.</w:t>
      </w:r>
    </w:p>
    <w:p>
      <w:pPr>
        <w:pStyle w:val="ListBullet"/>
      </w:pPr>
      <w:r>
        <w:t>Luego se corrige el OA afectado y se usa como estándar de referencia.</w:t>
      </w:r>
    </w:p>
    <w:p>
      <w:pPr>
        <w:pStyle w:val="ListBullet"/>
      </w:pPr>
      <w:r>
        <w:t>Solo después se avanza a los OA siguientes.</w:t>
      </w:r>
    </w:p>
    <w:p>
      <w:pPr>
        <w:pStyle w:val="Heading1"/>
      </w:pPr>
      <w:r>
        <w:t>12. Aplicación inmediata</w:t>
      </w:r>
    </w:p>
    <w:p>
      <w:r>
        <w:t>Esta versión 1.3 se aplicará inmediatamente al OA09 de Inglés para rehacer Gancho y Lección sin máscaras globales, con notas al orador visibles y en español.</w:t>
      </w:r>
    </w:p>
    <w:p>
      <w:r>
        <w:br w:type="page"/>
      </w:r>
    </w:p>
    <w:p>
      <w:pPr>
        <w:jc w:val="center"/>
      </w:pPr>
      <w:r>
        <w:rPr>
          <w:b/>
          <w:sz w:val="32"/>
        </w:rPr>
        <w:t>ACTUALIZACIÓN OPERATIVA · VERSIÓN 1.4</w:t>
      </w:r>
    </w:p>
    <w:p>
      <w:pPr>
        <w:jc w:val="center"/>
      </w:pPr>
      <w:r>
        <w:rPr>
          <w:i/>
          <w:sz w:val="22"/>
        </w:rPr>
        <w:t>Entrega descargable y verificación de paquetes ZIP</w:t>
      </w:r>
    </w:p>
    <w:p>
      <w:pPr>
        <w:pStyle w:val="Heading1"/>
      </w:pPr>
      <w:r>
        <w:t>13. Regla de entrega descargable</w:t>
      </w:r>
    </w:p>
    <w:p>
      <w:r>
        <w:t>Todo OA debe entregarse de forma que el usuario pueda descargar los archivos sin depender de un único paquete ZIP. La disponibilidad de descarga es parte de la QA técnica y no un detalle posterior.</w:t>
      </w:r>
    </w:p>
    <w:p>
      <w:pPr>
        <w:pStyle w:val="ListBullet"/>
      </w:pPr>
      <w:r>
        <w:t>Siempre se entrega el PPTX individual además del ZIP correspondiente.</w:t>
      </w:r>
    </w:p>
    <w:p>
      <w:pPr>
        <w:pStyle w:val="ListBullet"/>
      </w:pPr>
      <w:r>
        <w:t>Cuando exista Plan Maestro actualizado, se entrega también como archivo DOCX individual.</w:t>
      </w:r>
    </w:p>
    <w:p>
      <w:pPr>
        <w:pStyle w:val="ListBullet"/>
      </w:pPr>
      <w:r>
        <w:t>Los enlaces finales solo se publican después de verificar que los archivos existen físicamente en /mnt/data y pueden abrirse.</w:t>
      </w:r>
    </w:p>
    <w:p>
      <w:pPr>
        <w:pStyle w:val="ListBullet"/>
      </w:pPr>
      <w:r>
        <w:t>No se debe afirmar que un ZIP está listo si no se ha comprobado su integridad.</w:t>
      </w:r>
    </w:p>
    <w:p>
      <w:pPr>
        <w:pStyle w:val="Heading1"/>
      </w:pPr>
      <w:r>
        <w:t>14. Construcción obligatoria del ZIP</w:t>
      </w:r>
    </w:p>
    <w:p>
      <w:pPr>
        <w:pStyle w:val="ListBullet"/>
      </w:pPr>
      <w:r>
        <w:t>El ZIP debe usar estructura plana: PPTX, GUION.txt e imágenes slide-01.png, slide-02.png, etc., directamente en la raíz del paquete, salvo que el usuario solicite otra estructura.</w:t>
      </w:r>
    </w:p>
    <w:p>
      <w:pPr>
        <w:pStyle w:val="ListBullet"/>
      </w:pPr>
      <w:r>
        <w:t>No se incluyen carpetas temporales, renders de QA, montajes, archivos duplicados ni versiones antiguas.</w:t>
      </w:r>
    </w:p>
    <w:p>
      <w:pPr>
        <w:pStyle w:val="ListBullet"/>
      </w:pPr>
      <w:r>
        <w:t>No se incluyen archivos ocultos o metadatos innecesarios.</w:t>
      </w:r>
    </w:p>
    <w:p>
      <w:pPr>
        <w:pStyle w:val="ListBullet"/>
      </w:pPr>
      <w:r>
        <w:t>Los nombres deben ser cortos, estables y sin caracteres problemáticos.</w:t>
      </w:r>
    </w:p>
    <w:p>
      <w:pPr>
        <w:pStyle w:val="ListBullet"/>
      </w:pPr>
      <w:r>
        <w:t>El nombre base del ZIP debe coincidir con el nombre base del OA, por ejemplo 110-7-ING-OA09-GANCHO.zip.</w:t>
      </w:r>
    </w:p>
    <w:p>
      <w:pPr>
        <w:pStyle w:val="Heading1"/>
      </w:pPr>
      <w:r>
        <w:t>15. QA de integridad del ZIP</w:t>
      </w:r>
    </w:p>
    <w:p>
      <w:r>
        <w:t>Antes de entregar, cada ZIP debe pasar estas comprobaciones:</w:t>
      </w:r>
    </w:p>
    <w:p>
      <w:pPr>
        <w:pStyle w:val="ListBullet"/>
      </w:pPr>
      <w:r>
        <w:t>Abrir el ZIP programáticamente y listar su contenido.</w:t>
      </w:r>
    </w:p>
    <w:p>
      <w:pPr>
        <w:pStyle w:val="ListBullet"/>
      </w:pPr>
      <w:r>
        <w:t>Ejecutar prueba CRC/integridad sobre todos los archivos del paquete.</w:t>
      </w:r>
    </w:p>
    <w:p>
      <w:pPr>
        <w:pStyle w:val="ListBullet"/>
      </w:pPr>
      <w:r>
        <w:t>Confirmar que contiene exactamente el PPTX esperado, GUION.txt y todas las imágenes requeridas.</w:t>
      </w:r>
    </w:p>
    <w:p>
      <w:pPr>
        <w:pStyle w:val="ListBullet"/>
      </w:pPr>
      <w:r>
        <w:t>Confirmar que no falta ninguna diapositiva y que la numeración es continua.</w:t>
      </w:r>
    </w:p>
    <w:p>
      <w:pPr>
        <w:pStyle w:val="ListBullet"/>
      </w:pPr>
      <w:r>
        <w:t>Extraer el ZIP en una carpeta temporal y comprobar que el PPTX extraído abre correctamente.</w:t>
      </w:r>
    </w:p>
    <w:p>
      <w:pPr>
        <w:pStyle w:val="ListBullet"/>
      </w:pPr>
      <w:r>
        <w:t>Comprobar que el tamaño final del ZIP es razonable y no contiene duplicados innecesarios.</w:t>
      </w:r>
    </w:p>
    <w:p>
      <w:pPr>
        <w:pStyle w:val="Heading1"/>
      </w:pPr>
      <w:r>
        <w:t>16. Estrategia anti-fallo de descarga</w:t>
      </w:r>
    </w:p>
    <w:p>
      <w:pPr>
        <w:pStyle w:val="ListBullet"/>
      </w:pPr>
      <w:r>
        <w:t>Nunca se entrega solo el ZIP: el PPTX queda disponible como descarga alternativa inmediata.</w:t>
      </w:r>
    </w:p>
    <w:p>
      <w:pPr>
        <w:pStyle w:val="ListBullet"/>
      </w:pPr>
      <w:r>
        <w:t>Si el ZIP es grande, se prioriza compresión eficiente de PNG sin degradar legibilidad y se eliminan duplicados antes de empaquetar.</w:t>
      </w:r>
    </w:p>
    <w:p>
      <w:pPr>
        <w:pStyle w:val="ListBullet"/>
      </w:pPr>
      <w:r>
        <w:t>Si un ZIP presenta problemas de descarga, se regenera desde cero con un nombre limpio, se vuelve a validar y se entrega nuevamente; no se reutiliza un paquete dudoso.</w:t>
      </w:r>
    </w:p>
    <w:p>
      <w:pPr>
        <w:pStyle w:val="ListBullet"/>
      </w:pPr>
      <w:r>
        <w:t>La respuesta final debe incluir enlaces separados y claramente identificados para ZIP y PPTX, evitando enlaces ambiguos.</w:t>
      </w:r>
    </w:p>
    <w:p>
      <w:pPr>
        <w:pStyle w:val="ListBullet"/>
      </w:pPr>
      <w:r>
        <w:t>No se crean múltiples versiones con sufijos confusos en la misma entrega final. Solo se publica la versión aprobada.</w:t>
      </w:r>
    </w:p>
    <w:p>
      <w:pPr>
        <w:pStyle w:val="Heading1"/>
      </w:pPr>
      <w:r>
        <w:t>17. Criterio de rechazo por entrega</w:t>
      </w:r>
    </w:p>
    <w:p>
      <w:r>
        <w:t>El material se considera NO ENTREGABLE si ocurre cualquiera de estas situaciones:</w:t>
      </w:r>
    </w:p>
    <w:p>
      <w:pPr>
        <w:pStyle w:val="ListBullet"/>
      </w:pPr>
      <w:r>
        <w:t>el ZIP no supera la prueba de integridad;</w:t>
      </w:r>
    </w:p>
    <w:p>
      <w:pPr>
        <w:pStyle w:val="ListBullet"/>
      </w:pPr>
      <w:r>
        <w:t>el ZIP contiene archivos faltantes o nombres que no corresponden al guion;</w:t>
      </w:r>
    </w:p>
    <w:p>
      <w:pPr>
        <w:pStyle w:val="ListBullet"/>
      </w:pPr>
      <w:r>
        <w:t>el PPTX no está disponible como descarga individual;</w:t>
      </w:r>
    </w:p>
    <w:p>
      <w:pPr>
        <w:pStyle w:val="ListBullet"/>
      </w:pPr>
      <w:r>
        <w:t>el archivo enlazado no existe en la ruta final;</w:t>
      </w:r>
    </w:p>
    <w:p>
      <w:pPr>
        <w:pStyle w:val="ListBullet"/>
      </w:pPr>
      <w:r>
        <w:t>se entrega un paquete temporal, duplicado o con estructura innecesariamente compleja.</w:t>
      </w:r>
    </w:p>
    <w:p>
      <w:pPr>
        <w:pStyle w:val="Heading1"/>
      </w:pPr>
      <w:r>
        <w:t>18. Secuencia final de publicación</w:t>
      </w:r>
    </w:p>
    <w:p>
      <w:r>
        <w:t>La entrega final de cada Gancho o Lección seguirá obligatoriamente esta secuencia:</w:t>
      </w:r>
    </w:p>
    <w:p>
      <w:pPr>
        <w:pStyle w:val="ListBullet"/>
      </w:pPr>
      <w:r>
        <w:t>1) finalizar el PPTX;</w:t>
      </w:r>
    </w:p>
    <w:p>
      <w:pPr>
        <w:pStyle w:val="ListBullet"/>
      </w:pPr>
      <w:r>
        <w:t>2) verificar notas al orador y render visual;</w:t>
      </w:r>
    </w:p>
    <w:p>
      <w:pPr>
        <w:pStyle w:val="ListBullet"/>
      </w:pPr>
      <w:r>
        <w:t>3) generar GUION.txt e imágenes finales;</w:t>
      </w:r>
    </w:p>
    <w:p>
      <w:pPr>
        <w:pStyle w:val="ListBullet"/>
      </w:pPr>
      <w:r>
        <w:t>4) construir ZIP limpio desde cero;</w:t>
      </w:r>
    </w:p>
    <w:p>
      <w:pPr>
        <w:pStyle w:val="ListBullet"/>
      </w:pPr>
      <w:r>
        <w:t>5) validar ZIP por CRC y extracción de prueba;</w:t>
      </w:r>
    </w:p>
    <w:p>
      <w:pPr>
        <w:pStyle w:val="ListBullet"/>
      </w:pPr>
      <w:r>
        <w:t>6) verificar existencia y apertura del PPTX individual;</w:t>
      </w:r>
    </w:p>
    <w:p>
      <w:pPr>
        <w:pStyle w:val="ListBullet"/>
      </w:pPr>
      <w:r>
        <w:t>7) publicar enlaces separados al ZIP y al PPTX.</w:t>
      </w:r>
    </w:p>
    <w:p>
      <w:r>
        <w:br w:type="page"/>
      </w:r>
    </w:p>
    <w:p>
      <w:pPr>
        <w:pStyle w:val="Heading1"/>
      </w:pPr>
      <w:r>
        <w:t>ACTUALIZACIÓN OPERATIVA · VERSIÓN 1.5</w:t>
      </w:r>
    </w:p>
    <w:p>
      <w:r>
        <w:t>Esta actualización no modifica la arquitectura didáctica del Gancho ni de la Lección. Precisa la relación entre la imagen de fondo, la zona de texto y la evidencia visual para evitar que gráficos, íconos o recursos de la escena compitan con el contenido escrito. Se incorpora a partir de la revisión final del OA09 de Inglés y es obligatoria para los OA siguientes.</w:t>
      </w:r>
    </w:p>
    <w:p>
      <w:pPr>
        <w:pStyle w:val="Heading2"/>
      </w:pPr>
      <w:r>
        <w:t>1. Zonificación previa a la generación de imágenes</w:t>
      </w:r>
    </w:p>
    <w:p>
      <w:pPr>
        <w:pStyle w:val="ListBullet"/>
      </w:pPr>
      <w:r>
        <w:t>Antes de generar cada imagen se deben definir una zona de texto y una zona de evidencia visual.</w:t>
      </w:r>
    </w:p>
    <w:p>
      <w:pPr>
        <w:pStyle w:val="ListBullet"/>
      </w:pPr>
      <w:r>
        <w:t>La zona de texto debe contar con espacio negativo real, suficiente para título, subtítulo, cuerpo y etiqueta de paso.</w:t>
      </w:r>
    </w:p>
    <w:p>
      <w:pPr>
        <w:pStyle w:val="ListBullet"/>
      </w:pPr>
      <w:r>
        <w:t>La zona de evidencia debe conservar visible al protagonista, la acción, el objeto didáctico y el contexto narrativo.</w:t>
      </w:r>
    </w:p>
    <w:p>
      <w:pPr>
        <w:pStyle w:val="ListBullet"/>
      </w:pPr>
      <w:r>
        <w:t>Las dos zonas pueden convivir en una misma composición, pero no deben invadirse entre sí.</w:t>
      </w:r>
    </w:p>
    <w:p>
      <w:pPr>
        <w:pStyle w:val="Heading2"/>
      </w:pPr>
      <w:r>
        <w:t>2. Elementos prohibidos dentro de la zona de texto</w:t>
      </w:r>
    </w:p>
    <w:p>
      <w:pPr>
        <w:pStyle w:val="ListBullet"/>
      </w:pPr>
      <w:r>
        <w:t>No se deben generar dentro de la zona de texto íconos, notas adhesivas, barras decorativas, conectores, flechas, marcos, recuadros vacíos, diagramas o gráficos que compitan con la lectura.</w:t>
      </w:r>
    </w:p>
    <w:p>
      <w:pPr>
        <w:pStyle w:val="ListBullet"/>
      </w:pPr>
      <w:r>
        <w:t>Los elementos didácticos de la imagen no pueden quedar detrás de títulos, respuestas, explicaciones o etiquetas.</w:t>
      </w:r>
    </w:p>
    <w:p>
      <w:pPr>
        <w:pStyle w:val="ListBullet"/>
      </w:pPr>
      <w:r>
        <w:t>Si la imagen generada invade la zona de texto, se debe regenerar o editar el fondo; no se debe resolver agregando una máscara, placa oscura o panel global.</w:t>
      </w:r>
    </w:p>
    <w:p>
      <w:pPr>
        <w:pStyle w:val="Heading2"/>
      </w:pPr>
      <w:r>
        <w:t>3. Separación tipográfica y control de colisiones</w:t>
      </w:r>
    </w:p>
    <w:p>
      <w:pPr>
        <w:pStyle w:val="ListBullet"/>
      </w:pPr>
      <w:r>
        <w:t>Kicker, separador, título, subtítulo, cuerpo, respuesta, explicación y etiqueta de paso deben ocupar zonas verticales independientes.</w:t>
      </w:r>
    </w:p>
    <w:p>
      <w:pPr>
        <w:pStyle w:val="ListBullet"/>
      </w:pPr>
      <w:r>
        <w:t>Debe existir aire visual suficiente entre la respuesta destacada y su explicación; ninguna línea puede tocar, cruzar o superponerse con otra.</w:t>
      </w:r>
    </w:p>
    <w:p>
      <w:pPr>
        <w:pStyle w:val="ListBullet"/>
      </w:pPr>
      <w:r>
        <w:t>Los títulos deben mantenerse legibles y no deben competir con líneas, sombras o formas presentes en la imagen de fondo.</w:t>
      </w:r>
    </w:p>
    <w:p>
      <w:pPr>
        <w:pStyle w:val="ListBullet"/>
      </w:pPr>
      <w:r>
        <w:t>La jerarquía visual debe distinguir con claridad qué se observa, qué se responde y qué evidencia justifica la respuesta.</w:t>
      </w:r>
    </w:p>
    <w:p>
      <w:pPr>
        <w:pStyle w:val="Heading2"/>
      </w:pPr>
      <w:r>
        <w:t>4. Regla especial para diapositivas de modelado</w:t>
      </w:r>
    </w:p>
    <w:p>
      <w:pPr>
        <w:pStyle w:val="ListBullet"/>
      </w:pPr>
      <w:r>
        <w:t>Cuando se modela un ejemplo completo, la respuesta, la evidencia y la explicación deben poder leerse como unidades separadas.</w:t>
      </w:r>
    </w:p>
    <w:p>
      <w:pPr>
        <w:pStyle w:val="ListBullet"/>
      </w:pPr>
      <w:r>
        <w:t>La evidencia visual puede apoyar el razonamiento, pero nunca puede funcionar como fondo detrás de la respuesta escrita.</w:t>
      </w:r>
    </w:p>
    <w:p>
      <w:pPr>
        <w:pStyle w:val="ListBullet"/>
      </w:pPr>
      <w:r>
        <w:t>La composición debe permitir reconstruir el procedimiento sin que el estudiante tenga que separar mentalmente texto y decoración.</w:t>
      </w:r>
    </w:p>
    <w:p>
      <w:pPr>
        <w:pStyle w:val="Heading2"/>
      </w:pPr>
      <w:r>
        <w:t>5. QA visual específico por diapositiva</w:t>
      </w:r>
    </w:p>
    <w:p>
      <w:pPr>
        <w:pStyle w:val="ListBullet"/>
      </w:pPr>
      <w:r>
        <w:t>Revisar cada diapositiva renderizada a tamaño completo y en vista reducida.</w:t>
      </w:r>
    </w:p>
    <w:p>
      <w:pPr>
        <w:pStyle w:val="ListBullet"/>
      </w:pPr>
      <w:r>
        <w:t>Comprobar que no existan colisiones entre textos ni entre texto y elementos de la imagen.</w:t>
      </w:r>
    </w:p>
    <w:p>
      <w:pPr>
        <w:pStyle w:val="ListBullet"/>
      </w:pPr>
      <w:r>
        <w:t>Comprobar que el protagonista, la evidencia didáctica y el contexto permanezcan reconocibles.</w:t>
      </w:r>
    </w:p>
    <w:p>
      <w:pPr>
        <w:pStyle w:val="ListBullet"/>
      </w:pPr>
      <w:r>
        <w:t>Si falla una sola diapositiva, corregir únicamente la composición afectada, volver a renderizar el conjunto y repetir el control antes de crear el ZIP.</w:t>
      </w:r>
    </w:p>
    <w:p>
      <w:pPr>
        <w:pStyle w:val="Heading2"/>
      </w:pPr>
      <w:r>
        <w:t>6. Puerta de rechazo</w:t>
      </w:r>
    </w:p>
    <w:p>
      <w:r>
        <w:t>La diapositiva se considera NO ENTREGABLE si la zona textual contiene gráficos de fondo que compiten con la lectura, si una respuesta se superpone con su explicación, si la evidencia queda oculta o si la composición necesita una máscara global para volverse legible.</w:t>
      </w:r>
    </w:p>
    <w:sectPr w:rsidR="00FC693F" w:rsidRPr="0006063C" w:rsidSect="00034616">
      <w:headerReference w:type="default" r:id="rId9"/>
      <w:footerReference w:type="default" r:id="rId10"/>
      <w:pgSz w:w="12240" w:h="15840"/>
      <w:pgMar w:top="1152" w:right="1152" w:bottom="1152"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A636E"/>
        <w:sz w:val="17"/>
      </w:rPr>
      <w:t>EstudioSimple · 7° Básico · Documento operativo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b/>
        <w:i w:val="0"/>
        <w:color w:val="5A636E"/>
        <w:sz w:val="17"/>
      </w:rPr>
      <w:t>ESTUDIOSIMPLE · PLAN MAESTRO DISCIPLINAR</w:t>
    </w:r>
    <w:r>
      <w:rPr>
        <w:rFonts w:ascii="Calibri" w:hAnsi="Calibri"/>
        <w:b w:val="0"/>
        <w:i w:val="0"/>
        <w:color w:val="5A636E"/>
        <w:sz w:val="17"/>
      </w:rPr>
      <w:t xml:space="preserve">   |   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Plan_Maestro_EstudioSimple_Ingles_7B_v1.0</dc:title>
  <dc:subject>Plan Maestro disciplinar EstudioSimple 7° Básico</dc:subject>
  <dc:creator>EstudioSimple</dc:creator>
  <cp:keywords/>
  <dc:description>generated by python-docx</dc:description>
  <cp:lastModifiedBy/>
  <cp:revision>1</cp:revision>
  <dcterms:created xsi:type="dcterms:W3CDTF">2013-12-23T23:15:00Z</dcterms:created>
  <dcterms:modified xsi:type="dcterms:W3CDTF">2013-12-23T23:15:00Z</dcterms:modified>
  <cp:category/>
</cp:coreProperties>
</file>