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40" w:line="252" w:lineRule="auto"/>
        <w:jc w:val="center"/>
      </w:pPr>
      <w:r>
        <w:rPr>
          <w:rFonts w:ascii="Arial" w:hAnsi="Arial" w:eastAsia="Microsoft YaHei"/>
          <w:b/>
          <w:color w:val="2E74B5"/>
          <w:sz w:val="20"/>
        </w:rPr>
        <w:t>AI-ASSISTED REVIEW REPORT</w:t>
      </w:r>
    </w:p>
    <w:p>
      <w:pPr>
        <w:spacing w:before="0" w:after="40" w:line="252" w:lineRule="auto"/>
        <w:jc w:val="center"/>
      </w:pPr>
      <w:r>
        <w:rPr>
          <w:rFonts w:ascii="Arial" w:hAnsi="Arial" w:eastAsia="Microsoft YaHei"/>
          <w:b/>
          <w:color w:val="19324A"/>
          <w:sz w:val="48"/>
        </w:rPr>
        <w:t>Bilingual Translation and Regulatory</w:t>
        <w:br/>
        <w:t>Consistency Review Report</w:t>
      </w:r>
    </w:p>
    <w:p>
      <w:pPr>
        <w:spacing w:before="0" w:after="40" w:line="252" w:lineRule="auto"/>
        <w:jc w:val="center"/>
      </w:pPr>
      <w:r>
        <w:rPr>
          <w:rFonts w:ascii="Arial" w:hAnsi="Arial" w:eastAsia="Microsoft YaHei"/>
          <w:b w:val="0"/>
          <w:color w:val="667085"/>
          <w:sz w:val="24"/>
        </w:rPr>
        <w:t>tmpfd43l43o.docx</w:t>
      </w:r>
    </w:p>
    <w:p/>
    <w:tbl>
      <w:tblPr>
        <w:tblStyle w:val="TableGrid"/>
        <w:tblW w:type="dxa" w:w="9072"/>
        <w:jc w:val="center"/>
        <w:tblLayout w:type="fixed"/>
        <w:tblLook w:firstColumn="1" w:firstRow="1" w:lastColumn="0" w:lastRow="0" w:noHBand="0" w:noVBand="1" w:val="04A0"/>
        <w:tblInd w:w="120" w:type="dxa"/>
      </w:tblPr>
      <w:tblGrid>
        <w:gridCol w:w="2160"/>
        <w:gridCol w:w="6912"/>
      </w:tblGrid>
      <w:tr>
        <w:trPr>
          <w:tblHeader w:val="true"/>
        </w:trPr>
        <w:tc>
          <w:tcPr>
            <w:tcW w:type="dxa" w:w="216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Report field</w:t>
            </w:r>
          </w:p>
        </w:tc>
        <w:tc>
          <w:tcPr>
            <w:tcW w:type="dxa" w:w="691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Value</w:t>
            </w:r>
          </w:p>
        </w:tc>
      </w:tr>
      <w:tr>
        <w:tc>
          <w:tcPr>
            <w:tcW w:type="dxa" w:w="216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Review date</w:t>
            </w:r>
          </w:p>
        </w:tc>
        <w:tc>
          <w:tcPr>
            <w:tcW w:type="dxa" w:w="69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2026-06-26 15:08 HKT</w:t>
            </w:r>
          </w:p>
        </w:tc>
      </w:tr>
      <w:tr>
        <w:tc>
          <w:tcPr>
            <w:tcW w:type="dxa" w:w="216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Pages processed</w:t>
            </w:r>
          </w:p>
        </w:tc>
        <w:tc>
          <w:tcPr>
            <w:tcW w:type="dxa" w:w="69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28</w:t>
            </w:r>
          </w:p>
        </w:tc>
      </w:tr>
      <w:tr>
        <w:tc>
          <w:tcPr>
            <w:tcW w:type="dxa" w:w="216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AI model</w:t>
            </w:r>
          </w:p>
        </w:tc>
        <w:tc>
          <w:tcPr>
            <w:tcW w:type="dxa" w:w="69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deepseek-v4-flash</w:t>
            </w:r>
          </w:p>
        </w:tc>
      </w:tr>
      <w:tr>
        <w:tc>
          <w:tcPr>
            <w:tcW w:type="dxa" w:w="216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Review mode</w:t>
            </w:r>
          </w:p>
        </w:tc>
        <w:tc>
          <w:tcPr>
            <w:tcW w:type="dxa" w:w="69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AI-assisted</w:t>
            </w:r>
          </w:p>
        </w:tc>
      </w:tr>
    </w:tbl>
    <w:p>
      <w:pPr>
        <w:spacing w:after="40"/>
      </w:pPr>
    </w:p>
    <w:p>
      <w:pPr>
        <w:spacing w:before="0" w:after="40" w:line="252" w:lineRule="auto"/>
      </w:pPr>
      <w:r>
        <w:rPr>
          <w:rFonts w:ascii="Arial" w:hAnsi="Arial" w:eastAsia="Microsoft YaHei"/>
          <w:b/>
          <w:color w:val="9B1C1C"/>
          <w:sz w:val="18"/>
        </w:rPr>
        <w:t>This report is generated by an AI-assisted tool for preliminary translation and regulatory consistency review. It does not constitute legal, regulatory, certification, or notified-body advice. Final decisions must be made by qualified regulatory and quality professionals.</w:t>
      </w:r>
    </w:p>
    <w:p>
      <w:r>
        <w:br w:type="page"/>
      </w:r>
    </w:p>
    <w:p>
      <w:pPr>
        <w:pStyle w:val="Heading1"/>
      </w:pPr>
      <w:r>
        <w:t>1. Executive summary</w:t>
      </w:r>
    </w:p>
    <w:tbl>
      <w:tblPr>
        <w:tblStyle w:val="TableGrid"/>
        <w:tblW w:type="dxa" w:w="9072"/>
        <w:jc w:val="center"/>
        <w:tblLayout w:type="fixed"/>
        <w:tblLook w:firstColumn="1" w:firstRow="1" w:lastColumn="0" w:lastRow="0" w:noHBand="0" w:noVBand="1" w:val="04A0"/>
        <w:tblInd w:w="120" w:type="dxa"/>
      </w:tblPr>
      <w:tblGrid>
        <w:gridCol w:w="4752"/>
        <w:gridCol w:w="4320"/>
      </w:tblGrid>
      <w:tr>
        <w:trPr>
          <w:tblHeader w:val="true"/>
        </w:trPr>
        <w:tc>
          <w:tcPr>
            <w:tcW w:type="dxa" w:w="475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Metric</w:t>
            </w:r>
          </w:p>
        </w:tc>
        <w:tc>
          <w:tcPr>
            <w:tcW w:type="dxa" w:w="43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Count</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Blocks</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218</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Confirmed pairs</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202</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Uncertain / unpaired</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34</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Confirmed findings</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70</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Critical</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1</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17</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46</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Observation</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2</w:t>
            </w:r>
          </w:p>
        </w:tc>
      </w:tr>
    </w:tbl>
    <w:p>
      <w:pPr>
        <w:spacing w:after="40"/>
      </w:pPr>
    </w:p>
    <w:p>
      <w:pPr>
        <w:spacing w:before="0" w:after="40" w:line="252" w:lineRule="auto"/>
      </w:pPr>
      <w:r>
        <w:rPr>
          <w:rFonts w:ascii="Arial" w:hAnsi="Arial" w:eastAsia="Microsoft YaHei"/>
          <w:b/>
          <w:color w:val="000000"/>
          <w:sz w:val="20"/>
        </w:rPr>
        <w:t>Overall risk summary: Critical or major observations are present and should be prioritized for qualified manual review.</w:t>
      </w:r>
    </w:p>
    <w:p>
      <w:pPr>
        <w:spacing w:before="0" w:after="40" w:line="252" w:lineRule="auto"/>
      </w:pPr>
      <w:r>
        <w:rPr>
          <w:rFonts w:ascii="Arial" w:hAnsi="Arial" w:eastAsia="Microsoft YaHei"/>
          <w:b w:val="0"/>
          <w:color w:val="000000"/>
          <w:sz w:val="19"/>
        </w:rPr>
        <w:t>Detected regulations: ISO 13485</w:t>
      </w:r>
    </w:p>
    <w:p>
      <w:pPr>
        <w:pStyle w:val="Heading1"/>
      </w:pPr>
      <w:r>
        <w:t>2. Detected regulations and standards</w:t>
      </w:r>
    </w:p>
    <w:tbl>
      <w:tblPr>
        <w:tblStyle w:val="TableGrid"/>
        <w:tblW w:type="dxa" w:w="9504"/>
        <w:jc w:val="center"/>
        <w:tblLayout w:type="fixed"/>
        <w:tblLook w:firstColumn="1" w:firstRow="1" w:lastColumn="0" w:lastRow="0" w:noHBand="0" w:noVBand="1" w:val="04A0"/>
        <w:tblInd w:w="120" w:type="dxa"/>
      </w:tblPr>
      <w:tblGrid>
        <w:gridCol w:w="2015"/>
        <w:gridCol w:w="1007"/>
        <w:gridCol w:w="4176"/>
        <w:gridCol w:w="648"/>
        <w:gridCol w:w="792"/>
        <w:gridCol w:w="864"/>
      </w:tblGrid>
      <w:tr>
        <w:trPr>
          <w:tblHeader w:val="true"/>
        </w:trPr>
        <w:tc>
          <w:tcPr>
            <w:tcW w:type="dxa" w:w="2015"/>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Name</w:t>
            </w:r>
          </w:p>
        </w:tc>
        <w:tc>
          <w:tcPr>
            <w:tcW w:type="dxa" w:w="1007"/>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Version</w:t>
            </w:r>
          </w:p>
        </w:tc>
        <w:tc>
          <w:tcPr>
            <w:tcW w:type="dxa" w:w="41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Evidence</w:t>
            </w:r>
          </w:p>
        </w:tc>
        <w:tc>
          <w:tcPr>
            <w:tcW w:type="dxa" w:w="64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Page</w:t>
            </w:r>
          </w:p>
        </w:tc>
        <w:tc>
          <w:tcPr>
            <w:tcW w:type="dxa" w:w="79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Section</w:t>
            </w:r>
          </w:p>
        </w:tc>
        <w:tc>
          <w:tcPr>
            <w:tcW w:type="dxa" w:w="864"/>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Confidence</w:t>
            </w:r>
          </w:p>
        </w:tc>
      </w:tr>
      <w:tr>
        <w:tc>
          <w:tcPr>
            <w:tcW w:type="dxa" w:w="201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ISO 13485</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2016</w:t>
            </w:r>
          </w:p>
        </w:tc>
        <w:tc>
          <w:tcPr>
            <w:tcW w:type="dxa" w:w="41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中国 China | GB/T 42061-2022/ISO 13485:2016 医疗器械质量管理体系 用于法规的要求 | 记录控制 Record control 制造商保存记录的期限应至于相当于组织所规定的医疗器械的寿命期，但从组织放行产品的日期起不少于２年，或按相关法规要求规定 The manufacturer shall retain the record for a period of time at least equivalent to the lifetime of the medical devices as defined by the manufacturer. but…</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22</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6.10.4.3</w:t>
            </w:r>
          </w:p>
        </w:tc>
        <w:tc>
          <w:tcPr>
            <w:tcW w:type="dxa" w:w="86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98%</w:t>
            </w:r>
          </w:p>
        </w:tc>
      </w:tr>
    </w:tbl>
    <w:p>
      <w:pPr>
        <w:spacing w:after="40"/>
      </w:pPr>
    </w:p>
    <w:p>
      <w:pPr>
        <w:pStyle w:val="Heading1"/>
      </w:pPr>
      <w:r>
        <w:t>3. Pairing quality summary</w:t>
      </w:r>
    </w:p>
    <w:tbl>
      <w:tblPr>
        <w:tblStyle w:val="TableGrid"/>
        <w:tblW w:type="dxa" w:w="9072"/>
        <w:jc w:val="center"/>
        <w:tblLayout w:type="fixed"/>
        <w:tblLook w:firstColumn="1" w:firstRow="1" w:lastColumn="0" w:lastRow="0" w:noHBand="0" w:noVBand="1" w:val="04A0"/>
        <w:tblInd w:w="120" w:type="dxa"/>
      </w:tblPr>
      <w:tblGrid>
        <w:gridCol w:w="4752"/>
        <w:gridCol w:w="4320"/>
      </w:tblGrid>
      <w:tr>
        <w:trPr>
          <w:tblHeader w:val="true"/>
        </w:trPr>
        <w:tc>
          <w:tcPr>
            <w:tcW w:type="dxa" w:w="475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Status</w:t>
            </w:r>
          </w:p>
        </w:tc>
        <w:tc>
          <w:tcPr>
            <w:tcW w:type="dxa" w:w="43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Count</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confirmed</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202</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missing_chinese</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6</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missing_english</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8</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PairStatus.uncertain</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14</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unpaired</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6</w:t>
            </w:r>
          </w:p>
        </w:tc>
      </w:tr>
    </w:tbl>
    <w:p>
      <w:pPr>
        <w:spacing w:after="40"/>
      </w:pPr>
    </w:p>
    <w:tbl>
      <w:tblPr>
        <w:tblStyle w:val="TableGrid"/>
        <w:tblW w:type="dxa" w:w="9072"/>
        <w:jc w:val="center"/>
        <w:tblLayout w:type="fixed"/>
        <w:tblLook w:firstColumn="1" w:firstRow="1" w:lastColumn="0" w:lastRow="0" w:noHBand="0" w:noVBand="1" w:val="04A0"/>
        <w:tblInd w:w="120" w:type="dxa"/>
      </w:tblPr>
      <w:tblGrid>
        <w:gridCol w:w="4752"/>
        <w:gridCol w:w="4320"/>
      </w:tblGrid>
      <w:tr>
        <w:trPr>
          <w:tblHeader w:val="true"/>
        </w:trPr>
        <w:tc>
          <w:tcPr>
            <w:tcW w:type="dxa" w:w="475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Pairing method</w:t>
            </w:r>
          </w:p>
        </w:tc>
        <w:tc>
          <w:tcPr>
            <w:tcW w:type="dxa" w:w="43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Count</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ai_validated</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92</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consecutive_paragraph_group</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1</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heading_glossary</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8</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table_row</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81</w:t>
            </w:r>
          </w:p>
        </w:tc>
      </w:tr>
      <w:tr>
        <w:tc>
          <w:tcPr>
            <w:tcW w:type="dxa" w:w="47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translated_chinese_similarity</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8"/>
              </w:rPr>
              <w:t>54</w:t>
            </w:r>
          </w:p>
        </w:tc>
      </w:tr>
    </w:tbl>
    <w:p>
      <w:pPr>
        <w:spacing w:after="40"/>
      </w:pPr>
    </w:p>
    <w:p>
      <w:pPr>
        <w:spacing w:before="0" w:after="40" w:line="252" w:lineRule="auto"/>
      </w:pPr>
      <w:r>
        <w:rPr>
          <w:rFonts w:ascii="Arial" w:hAnsi="Arial" w:eastAsia="Microsoft YaHei"/>
          <w:b w:val="0"/>
          <w:color w:val="000000"/>
          <w:sz w:val="18"/>
        </w:rPr>
        <w:t>Configured thresholds: confirmed 82%; uncertain 68%. Only confirmed pairs explicitly marked for translation checking can produce translation-equivalence findings.</w:t>
      </w:r>
    </w:p>
    <w:p>
      <w:pPr>
        <w:sectPr>
          <w:headerReference w:type="default" r:id="rId9"/>
          <w:footerReference w:type="default" r:id="rId10"/>
          <w:pgSz w:w="12240" w:h="15840"/>
          <w:pgMar w:top="1152" w:right="1152" w:bottom="1080" w:left="1152" w:header="504" w:footer="504" w:gutter="0"/>
          <w:cols w:space="720"/>
          <w:docGrid w:linePitch="360"/>
        </w:sectPr>
      </w:pPr>
    </w:p>
    <w:p>
      <w:pPr>
        <w:pStyle w:val="Heading1"/>
      </w:pPr>
      <w:r>
        <w:t>4. Translation equivalence findings</w:t>
      </w:r>
    </w:p>
    <w:tbl>
      <w:tblPr>
        <w:tblStyle w:val="TableGrid"/>
        <w:tblW w:type="dxa" w:w="13392"/>
        <w:jc w:val="center"/>
        <w:tblLayout w:type="fixed"/>
        <w:tblLook w:firstColumn="1" w:firstRow="1" w:lastColumn="0" w:lastRow="0" w:noHBand="0" w:noVBand="1" w:val="04A0"/>
        <w:tblInd w:w="120" w:type="dxa"/>
      </w:tblPr>
      <w:tblGrid>
        <w:gridCol w:w="936"/>
        <w:gridCol w:w="432"/>
        <w:gridCol w:w="648"/>
        <w:gridCol w:w="2088"/>
        <w:gridCol w:w="2088"/>
        <w:gridCol w:w="1080"/>
        <w:gridCol w:w="792"/>
        <w:gridCol w:w="2520"/>
        <w:gridCol w:w="2088"/>
        <w:gridCol w:w="720"/>
      </w:tblGrid>
      <w:tr>
        <w:trPr>
          <w:tblHeader w:val="true"/>
        </w:trPr>
        <w:tc>
          <w:tcPr>
            <w:tcW w:type="dxa" w:w="93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ID</w:t>
            </w:r>
          </w:p>
        </w:tc>
        <w:tc>
          <w:tcPr>
            <w:tcW w:type="dxa" w:w="43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Pg</w:t>
            </w:r>
          </w:p>
        </w:tc>
        <w:tc>
          <w:tcPr>
            <w:tcW w:type="dxa" w:w="64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Section</w:t>
            </w:r>
          </w:p>
        </w:tc>
        <w:tc>
          <w:tcPr>
            <w:tcW w:type="dxa" w:w="208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Chinese text</w:t>
            </w:r>
          </w:p>
        </w:tc>
        <w:tc>
          <w:tcPr>
            <w:tcW w:type="dxa" w:w="208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English text</w:t>
            </w:r>
          </w:p>
        </w:tc>
        <w:tc>
          <w:tcPr>
            <w:tcW w:type="dxa" w:w="108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Issue type</w:t>
            </w:r>
          </w:p>
        </w:tc>
        <w:tc>
          <w:tcPr>
            <w:tcW w:type="dxa" w:w="79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Severity</w:t>
            </w:r>
          </w:p>
        </w:tc>
        <w:tc>
          <w:tcPr>
            <w:tcW w:type="dxa" w:w="25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Explanation</w:t>
            </w:r>
          </w:p>
        </w:tc>
        <w:tc>
          <w:tcPr>
            <w:tcW w:type="dxa" w:w="208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Suggested correction</w:t>
            </w:r>
          </w:p>
        </w:tc>
        <w:tc>
          <w:tcPr>
            <w:tcW w:type="dxa" w:w="7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Confidence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新增6.1.7 增加对文件总表更新方式的说明</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New adding 6.1.7, add the explanation for the updating way for Document Master List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terminology/grammar</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Phrase 'New adding' is ungrammatical; 'updating way' is non-standard.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Added 6.1.7, added explanation for the update method of the Document Master List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增加对外来文件总表更新方式的说明及删减质量记录总表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Adding the explanation for the updating way for External Document Master List and delete the Quality Record Master List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Inconsistent verb forms ('Adding' vs 'delete') and non-standard 'updating way'.</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Added explanation for the update method of the External Document Master List and deleted the Quality Record Master List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6.1.3 新增 CR 跟进方式及文件签批权限的依据 CR 文件总表及外来文件总表的打印时间由1个月改为3个月。 增加法律法规更新表完成后如影响系统文件的初步处理 时限及法规查询网址。</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 the Preliminary handle time limit when update the list of laws if affect documents.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first two bullets about CR follow-up, approval authority, and printing time changes. Also captures only part of the third bullet with poor grammar.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6.1.3 Added CR follow-up method and basis for document approval authority. Changed printing time of Document Master List and External Document Master List from 1 month to 3 months. 6.2.6 Added preliminary processing time limit and regulatory inquiry website when the laws/regulations update list affects system documents.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-更改首页标致 -在6.3阐述质量管理体系文件保存期限的依据，并说明文件保存期的起始时间依据。 6.3. -在6.2.6中加入韩国标准查询网址 6.2.6 -在6.3.5中加入相关国家纪录的保存年限 6.3.5 -变更6.1.6文件借阅程序 -在6.3.2中增加当人员离职时需更新签名识别表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Modified Cover Page Logo Explain the Shelf-life basis of Quality management system documents and the time basis of document Shelf life in Add the Korean standards web for search in Add the retention period of related records in Change the process for Document Borrowing updated the Authorized Signature List’ and register the leave date in time when there have people leave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inaccuracy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adds 'register the leave date' not in Chinese; uses 'Shelf-life' instead of 'retention period'; missing section numbers. Overall meaning preserved but not precise.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Modified cover page logo. In 6.3, explained the basis of retention period for QMS documents and the starting time basis. In 6.2.6, added Korean standard inquiry website. In 6.3.5, added retention period for related national records. Changed document borrowing procedure in 6.1.6. In 6.3.2, added that when personnel leave, the signature identification list must be updated.</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修改6.3.3，文件的保存方式变更为纸质文件和电子文件共存的形式。 DCC。 增加6.3.1.5，质量记录手改加注签名及日期的要求。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Added 6.3.1.5 about change the record should signature and remark the date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the first bullet about changing document storage to paper and electronic files, including DCC reference. Only partially translates the second bullet with poor grammar.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Modified 6.3.3, changed document storage method to coexistence of paper and electronic files (DCC). Added 6.3.1.5, requirement for manual changes to quality records to add signature and date.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TF-006</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-更改首页标志 -更改文件的保存期限为最后产品生产之日起15年 -更改记录的保存期限为该批产品生产之日起15年 -</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Update the cover page logo - Modified the document retention period to 15 years after that batch production. -Modified the record retention period to 15 years after that batch production.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inaccuracy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uses 'after that batch production' for both documents and records, but Chinese specifies 'last product production date' for documents and 'that batch production date' for records. The English is ambiguous.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Changed cover page logo. Changed document retention period to 15 years from the date of last product production. Changed record retention period to 15 years from the date of that batch production.</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重新排列各节。 更新了第6.3节中由变更申请过程启动的文件变更过程。 更新了第6.4和6.8.5节中的参考部分。 在第6.9节中更新 MDD（HK）和韩国法规的网站。 添加了 FM199 文件变更申请表格和 FM200 文件变更申请单一览表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Re-arrange the sections. Updated section 6.3 for document release procedure which is initiated by the change request process. Updated the refer section in section 6.4 and 6.8.5. Update the website of MDD(HK) and Korean regulation in section 6.9. Added FM199 Document release form and FM200 Document release list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term '文件变更' (document change) is consistently mistranslated as 'document release'. This changes the meaning of the procedure from a change process to a release process. Similarly, '文件变更申请表格' (document change request form) is mistranslated as 'document release form', and '文件变更申请单一览表' (document change request list) as 'document release list'.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Re-arrange the sections. Updated section 6.3 for document change process which is initiated by the change request process. Updated the reference sections in section 6.4 and 6.8.5. Update the website of MDD(HK) and Korean regulation in section 6.9. Added FM199 Document Change Request form and FM200 Document Change Request list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所有受控文件的引进、变更及保存。</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Applicable to introducing, change and filing of all controlled documents.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 inconsistency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'保存' (retention/storage) is translated as 'filing', which has a narrower meaning of archiving. 'Retention' is more accurate for document control.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Applicable to introducing, change and retention of all controlled documents.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建立程序以描述文件及记录的编写和控制要求。</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To establish the procedure to describe the requirement with regards to the compilation and control of documents and records.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Grammar/style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uses singular 'the requirement' while Chinese implies plural 'requirements'. Also 'with regards to' should be 'regarding' or 'with regard to'.</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To establish the procedure to describe the requirements regarding the compilation and control of documents and records.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确保受控文件得以适当保存。</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Ensure all the controlled documents are properly maintained.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w:t>
            </w:r>
          </w:p>
        </w:tc>
        <w:tc>
          <w:tcPr>
            <w:tcW w:type="dxa" w:w="792"/>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'保存' (retention) is translated as 'maintained', which is broader. In document control context, 'retained' or 'stored' may be more precise.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Ensure all the controlled documents are properly retained.</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各类文件的编号依 WI QAD 文件编码指引)的有关规定执行。</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Numbering of different kinds of documents refer to the relevant requirement of WI-04-QAD-01 (Document Numbering Instruction) to execute.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reference_mismatch</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references 'WI QAD 文件编码指引' without a document number, while English specifies 'WI-04-QAD-01'. This discrepancy could cause confusion in document identification.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Numbering of different kinds of documents shall be executed according to the relevant provisions of WI-04-QAD-01 (Document Numbering Instruction).</w:t>
              <w:br/>
              <w:t>ZH: 各类文件的编号依WI-04-QAD-01《文件编码指引》的有关规定执行。</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文件可用流程图的方式描述。</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Documents can be flowchart/diagrams.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terminology/grammar</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uses 'flowchart/diagrams' which is awkward; preferred 'described using flowcharts'.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Documents can be described using flowcharts.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文件的更改必须由原相关部门责任人/ 管理代表评审和批准。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Changes of documents are reviewed and approved by the original relevant departments’ heads/ Management Representative.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obligation weakening</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uses '必须' (must) but English uses 'are' without explicit 'must'; also '责任人' should be 'responsible person' not 'heads'.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Changes to documents must be reviewed and approved by the original relevant department responsible person/Management Representative.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新增文件由管理者代表或相关授权代表决定批核人员。 DCC 再更新《文件批核签名表》。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new document’s approved person is determined by MR or relevant authorized representative. after that, DCC update the Document Approval Signature List .</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grammar/clarity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'approved person' is ambiguous; should be 'approver'. Also grammar: 'DCC update' should be 'DCC updates' and capitalization.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approver for new documents is determined by the Management Representative or relevant authorized representative. DCC then updates the Document Approval Signature List.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申请人应在表格中填写由文控中心提供的文件变更编号，以及记录启动文件变更的变更申请号完成新增或变更的文件，并填好文件变更申请单中的部份1 至3，再递交给相关的评审人员审核。 DCC , 相关评审人对申请人提交的文件和文件变更申请单第1至3部分进行审核批准。 若审核批准通过文件变更，文件及文件变更申请单后提交给文控中心检查。 If , 若审核未能通过文件变更，文件及文件变更申请单后退回给申请人。</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If the review fails to pass the document change, the document and the document release form will be returned to the applicant.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only includes the final return step, omitting the entire document change process: submission, review, approval, and inspection.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applicant shall fill in the document release number provided by the Document Control Center and the change request number that initiated the document change in the form, complete the new or changed documents, fill in sections 1 to 3 of the document release form, and submit them to the relevant reviewers for review. The relevant reviewers review and approve the documents and sections 1 to 3 of the document release form submitted by the applicant. If the review approves the document change, the document and document release form are submitted to the Document Control Center for inspection. If the review fails to approve the document change, the document and document release form are returned to the applicant.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DCC 会以纸质文件和电邮分发受控文件给相关部门 DCC 相关部门在纸质文件分发/回收记录上签名确定收到/回收文件。在电邮分发时，保留分发的是电邮。 回收并销毁被取替/作废的受控文件，在原文件分发/回收记录上签名及记录回收日期 , DCC 保留作废文件的正本，并盖上 “作废文件” 印章，作废文件保存期限为作废之日起15年。 DCC " " DCC 更新文件总表 DCC 保存文件正本及文件分发/回收记录</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Maintain original document and Document Distribution/Withdrawal Record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only states maintaining original documents and records, but omits the processes for distribution, withdrawal, destruction, retention (15 years), and updating master list.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DCC distributes controlled documents in paper and by email to relevant departments. Relevant departments sign on the Document Distribution/Withdrawal Record to confirm receipt/withdrawal. For email distribution, the email is retained as distribution record. DCC withdraws and destroys replaced/obsolete controlled documents, obtains signature on the original distribution/withdrawal record, and records the withdrawal date. DCC retains the original of obsolete documents, stamps them as 'Cancelled', and retains them for 15 years from obsolescence. DCC updates the Document Master List. DCC maintains original documents and Document Distribution/Withdrawal Records.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13</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正本文件 变更申请单 文件变更申请单 文件分发/回收记录 文件分发/回收记录 文件总表 文件分发/回收记录</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 Distribution/ Withdrawal Record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lists multiple document types (original documents, change request forms, document change request forms, distribution/withdrawal records, master list) but English only mentions one type.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Original Documents, Change Request Form, Document Change Request Form, Document Distribution/Withdrawal Record, Document Master List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文控中心分发受控文件给申请人 DCC 申请人在文件分发/回收记录上签名确定收到文件。</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Applicant signs on the Document Distribution/Withdrawal Record to confirm the receipt of documents.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the first step where DCC distributes the controlled document to the applicant. The core action (signing) is present.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DCC distributes the controlled document to the applicant. The applicant signs on the Document Distribution/Withdrawal Record to confirm receipt.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申请人如需借阅文件，需向 DCC 申请。</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If applicant needs to lend the document who need to apply from DCC.</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'借阅' means 'borrow', but English says 'lend', reversing the direction. Grammar also incorrect.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If the applicant needs to borrow a document, they must apply to DCC.</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TF-006</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6.7.11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01 (文件编码指引)对外来文件进行编号，更新 “外来文件总表”。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QAD</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mistranslation</w:t>
            </w:r>
          </w:p>
        </w:tc>
        <w:tc>
          <w:tcPr>
            <w:tcW w:type="dxa" w:w="792"/>
            <w:shd w:fill="FECAC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'QAD' is likely a department abbreviation and completely unrelated to the Chinese text which describes numbering external documents per a guideline and updating the master list.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DCC numbers the external documents according to WI-04-QAD-01 (Document Numbering Guideline) and updates the 'Master List of External Documents'.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99%</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6.8</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当完成最新标准和法规的查询后，提交法律法规更新表给相关负责人审批。 DCC 相关负责人对文控中心提交上来的法律法规更新表进行审核。 DCC 相关负责人审完外来文件 SAR 更新表后，如不影响其它文件，将会批准更新的文件有效。 , , 如法律法规更新表中的内容对其它文件有影响，相关负责人员需在15工作日内进行讨论再确定相关事宜。</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If the update list of the laws and regulations affect other document, the relevant person will discuss within 15 work dates and determine again.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omits several key steps described in Chinese: submission of update list to responsible person for approval, review by DCC, and approval if no impact on other documents. Only the discussion step is included.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After completing the query of the latest standards and regulations, submit the update list of laws and regulations to the relevant responsible person for approval. The relevant responsible person reviews the update list submitted by the Document Control Center. After review, if the update does not affect other documents, it is approved as effective. If the update affects other documents, the relevant persons shall discuss within 15 working days and determine the related matters.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6.10.1.2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6.10.1.2不能使用涂改液更改文件记录。</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It is not allowed to use corrective white fluid to amend the quality documents and records.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"涂改液" is commonly translated as "correction fluid" rather than "corrective white fluid". The latter is non-standard.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It is not allowed to use correction fluid to amend the quality documents and records.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6.10.1.5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记录如需手改,原内容单斜线标识，并在需修改内容侧边填写正确内容（如无，可不填），同时修改人需加注签名及修改日期;</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 any event the record is to be modified by hand, content shall be crossed out by single straight line. While the new content written at the side with signature and modifying date.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'如无，可不填' (if none, it may be left blank), which is a conditional clarification present in Chinese.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In any event the record is to be modified by hand, content shall be crossed out by single straight line. While the new content written at the side with signature and modifying date. If there is no such side content, it may be left blank.</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6.10.3.2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6.10.3.2 文控室环境保持温度14至24℃，相对湿度45%至60%，以确保文件能够长期有效地保存。 14℃ ℃, 45% %</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ambient temperature of the document control room is and the relative humidity is to ensure that the documents can be effectively stored for a long time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omits the specific temperature (14℃ to 24℃) and relative humidity (45% to 60%) values, which are critical to the procedure.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ambient temperature of the document control room is 14℃ to 24℃, and the relative humidity is 45% to 60%, to ensure that the documents can be effectively stored for a long time.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TF_003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6.10.3.2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6.10.3.2 文控室环境保持温度14至24℃，相对湿度45%至60%，以确保文件能够长期有效地保存。 14℃ ℃, 45% %</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ambient temperature of the document control room is and the relative humidity is to ensure that the documents can be effectively stored for a long time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English sentence is incomplete; 'is' should be followed by a value.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ambient temperature of the document control room is 14℃ to 24℃, and the relative humidity is 45% to 60%, to ensure that the documents can be effectively stored for a long time.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存放在其它各部门的正本文件，如需受控分发，可将文件递交给文控中心帮忙盖“受控文件”章。但文件的储存、分发和回收等都由自己部门负责并管理。</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original files storing in other departments, if need to control and distribute, the documents can be submitted to the DCC to help and put on the “Controlled Document” stamp. But file storage distribution and recycling shall be responsible by their own departments.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grammar/style</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 errors: 'storing' should be 'stored'; 'if need to control and distribute' is awkward; 'help and put on' should be 'stamp as'; 'recycling' should be 'retrieval'; 'shall be responsible by' should be 'shall be the responsibility of'.</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original files stored in other departments, if controlled distribution is required, may be submitted to the Document Control Center (DCC) to be stamped as 'Controlled Document'. However, storage, distribution, and retrieval of the files shall be the responsibility of the respective departments.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质量相关记录的保存年限依据产品销售市场国家法规中保存期最长国家的要求作为我们质量记录的保存期限依据,如果客户要求保存期超过最长法规保存期要求,则以客户要求保存期为我司记录保存期限依据。目前体系内产品客户中保存期最长为该批产品有效期结束后起15年, 超过法规的要求, 故我司记录的保存期限为最后批产品有效期结束后起15年.法规要求详情见下表：</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Record Retention Period should base on the maximum regulatory requirement of the country that the company is selling to. If customer requires the record retention period that is longer than the maximum regulatory requirement, we shall use the period required by the customer. Nevertheless, the longest record retention period required by the customer is 15 years after the expiration date of that batch of productio…</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wording</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 wording differences: 'should base on' should be 'should be based on'; 'the maximum regulatory requirement of the country' could be clarified as 'the requirement of the country with the longest retention period'. Overall meaning preserved.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record retention period should be based on the maximum regulatory requirement of the countries where the company sells products. If a customer requires a retention period longer than the maximum regulatory requirement, the customer's requirement shall be used. Currently, the longest customer requirement is 15 years after product expiration, thus the company's record retention period is set to 15 years after expiration.</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5.1程序建立 : 分发记录应保存一段时间，至少应等同于制造商所指定的产品的使用寿命 但从进口商上市分布日期开始，不少于7年。</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distribution records shall be retained for a period of time at least equivalent to the service life of the said products as specified by the manufacturer, but not less than seven years from the date of distribution by the listed importer.</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includes '5.1程序建立' (Procedure Establishment 5.1) which is omitted in English. Also '上市分布日期' is translated as 'distribution by the listed importer' but could be 'placing on the market'.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5.1 Procedure Establishment: The distribution records shall be retained for a period of time at least equivalent to the service life of the products as specified by the manufacturer, but not less than 7 years from the date of placing on the market by the importer.</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附表1—4.2.4 记录控制 —4.2.4： 厂商应将记录保存一段时间，至少应相当于厂商所定义医疗产品的寿命，这个时间应不少于5年和从厂商产品发行日期开始不少于2年。</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manufacturer shall retain the record for a period of time at least equivalent to the lifetime of the medical devices as defined by the manufacturer. This period shall be not less than 5 years and not less than 2 years from the date of product release by the manufacturer</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includes '附表1—4.2.4 记录控制' (Attached Table 1—4.2.4 Control of Records) which is omitted in English. The regulatory requirement is correctly translated.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Attached Table 1—4.2.4 Control of Records: The manufacturer shall retain the record for a period of time at least equivalent to the lifetime of the medical devices as defined by the manufacturer. This period shall be not less than 5 years and not less than 2 years from the date of product release by the manufacturer.</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TF-006</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6.10.4.3</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通用保存期限( + XV CHAPTER III 普通器械至少 10 年，植入式器械至少 15 年，起算点为 “最后一台器械上市之日”。 临床研究文档（XV）：研究结束后至少 10 年；若产品上市 → 按上市后 10/15 年执行</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Manufacturers shall keep the technical documentation, the EU declaration of conformity and, if applicable, a copy of any relevant certificate, including any amendments and supplements, issued in accordance with Article 56, available for the competent authorities for a period of at least 10 years after the last device covered by the EU declaration of conformity has been placed on the market. In the case of implantabl…</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content mismatch</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provides a summary of EU MDR retention periods (10 years general, 15 years implantable) with reference to Annex XV, while English is a direct quote from the regulation with slightly different phrasing. The two texts do not directly correspond; Chinese includes a note about clinical investigation documentation which English also covers but in different words. This mismatch may cause confusion about the exact requirement.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General retention period (Article 10(8) + Annex XV Chapter III): At least 10 years for general devices, at least 15 years for implantable devices, starting from the date the last device was placed on the market. Clinical investigation documentation (Annex XV): at least 10 years after the end of the investigation; if placed on the market, follow the post-market periods.</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6.10.4.4</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采购部在下订单前或和供货商订立合作关系前，需要通知供货商他们供货 MC 的产品、配件或服务所对应的文件和记录保存期限为供货批次有效期结束或服务完成后15 年。</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Before placing an order or entering a partnership with a supplier, the Purchasing Department is required to notify the supplier that their document retention period shall be 15 years after the expiration of the validity period of the supply batch or the completion of the service.</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text uses '文件和记录' (files and records) but English translates as 'document' only, omitting 'records'. While 'document' may be interpreted broadly, in QMS context 'records' have specific meaning.</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Before placing an order or entering a partnership with a supplier, the Purchasing Department is required to notify the supplier that their documents and records retention period shall be 15 years after the expiration of the validity period of the supply batch or the completion of the service.</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供货商可以提供相关的文件和记录，由本公司代为保存。</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supplier can provide relevant documents, which will be kept by MediConcepts Group.</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says '文件和记录' (documents and records) but English only says 'documents'. Records are missing.</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The supplier can provide relevant documents and records, which will be kept by MediConcepts Group.</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TF-003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备注: 相关的文件包括: 金属件: 出货检查报告和材质证明</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Remarks: Relevant documents include the following Raw materials (e.g., plastic, silicone, ink, glue): COC / COA Metal Parts: Shipment Inspection Report and Material Certificate Plastic parts (custom made): Dimensional report / COA Plastic parts (standard parts): COA Packaging Materials: COC (including material information)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includes extensive list of required documents (raw materials, plastic parts, packaging materials) that are not present in the Chinese text. The Chinese only mentions metal parts. This is a significant omission.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w:t>
              <w:br/>
              <w:t>ZH: 备注: 相关的文件包括以下内容：原材料（如塑料、硅胶、油墨、胶水）：COC/COA；金属件：出货检查报告和材质证明；塑料件（定制）：尺寸报告/COA；塑料件（标准件）：COA；包装材料：COC（包括物料信息）。</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T001</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与监管机构对产品或工厂的有关审核记录 ,保存期为永久保存.</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Associated with regulators for product or factory audit records, Shelf life for permanent preservation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terminology/grammar</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term 'Shelf life' is inappropriate for record retention; should be 'Retention period'. Also the phrase 'Shelf life for permanent preservation' is ungrammatical.</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Audit records related to regulators for product or factory. Retention period: permanent.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T002</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提交监管机构的变更文件及记录。保存期为永久保存</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change documents and records of Submit to regulators, Shelf life for permanent preservation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grammar/terminology</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Grammatical error: 'of Submit to regulators' should be 'submitted to regulators'. 'Shelf life' should be 'Retention period'.</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Change documents and records submitted to regulators. Retention period: permanent.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T003</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DHF 类文件： 技术类文件：如符合性声明、基本要求、仪器规格、风险分析 : , , , . 产品标签/说明书：如产品图纸、配件图纸、半成品图纸、原料图纸 : , , , . 设计验证及确认文件：如项目计划、设计验证/确认计划、设计验证/确认方案、设计验证/确认报告。 , , , , . 生产管理文件：如生产计划、生产技术方案、生产技术报告、产品作业指引、生产设备数据。 : , , , , 上市后文件：如上市后监督、市场、客户、监管机构的投诉报告、事故调查及处理的相关记录、忠告性通知、回收相关记录。 : , , , , , , . 设计变更记录。 类文件保存期为永久保存。除非该产品淘汰，保存期为最后批次产品有效期结束后15年， , 15 .</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DHF class document Technical documents files such as conformance statement basic requirements the instrument specifications risk analysis Product label/instruction such as product drawings parts drawings semi-finished products raw materials drawings Design verification and confirmation files such as project planning design verification/validation plan design verification/validation scheme design verification/validat…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 omission: the retention period number '15' is missing in the English. Mistranslation: '回收相关记录' translated as 'recycling related records' should be 'recall related records' (or 'recall records'). Also 'conformance statement' should be 'declaration of conformity'; 'confirmation files' should be 'validation/verification files'; 'recycling' should be 'recall'. Many missing punctuation and articles.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DHF class documents: Technical documents: such as declaration of conformity, essential requirements, instrument specifications, risk analysis. Product labels/instructions: such as product drawings, component drawings, semi-finished product drawings, raw material drawings. Design verification and validation documents: such as project plan, design verification/validation plan, design verification/validation protocol, design verification/validation report. Production management documents: such as production plan, production technology plan, production technology report, product operation instructions, production equipment data. Post-market documents: such as post-market surveillance, market, customer, regulatory authority complaint reports, accident investigation and handling records, advisory notices, recall records. Design change records. DHF class documents retention period is permanent preservation, unless the product is eliminated, the retention period is 15 years after the expiry date of the last batch of product.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T004</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DHR 类文件： 批次生产记录：如工单、检查记录、生产流程卡、灭菌记录、入仓单、销售记录、合同订单评审记录、不合格品报告。保存起始日期为最后批次产品有效期结束后15年 , , , , , , , ,， 15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DHR class document Batch production records such as the repair order check record production process card sterilization record Single forwarder sales records contracts order review records nonconforming report the retention period of record is years after the expiry date of the last batch of production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omission/mistranslation</w:t>
            </w:r>
          </w:p>
        </w:tc>
        <w:tc>
          <w:tcPr>
            <w:tcW w:type="dxa" w:w="792"/>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Critical omission: '15' years is missing. Mistranslation: '工单' translated as 'repair order' should be 'work order'; '入仓单' translated as 'Single forwarder' should be 'warehouse entry record' or 'receiving record'. Also missing punctuation and articles.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DHR class documents: Batch production records: such as work order, inspection record, production process card, sterilization record, warehouse entry record, sales record, contract order review record, nonconforming product report. Retention period: 15 years after the expiry date of the last batch of product.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T005</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仪器、设备总表及保养/校准/维修/报废记录。保存期为永久保存。（除非系统产品全部淘汰，记录的最后保存期为最后批次产品有效期结束后15年）</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instrument, the equipment list and maintenance/calibrate/ repair/scrap record, Shelf life for permanent preservation. ( Unless the product is eliminated, the retention period of the record is 15 years after the expiry date of the last batch of production.)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terminology/grammar</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term 'Shelf life' is inappropriate; should be 'Retention period'. Also 'calibrate' should be 'calibration'. The phrase 'The instrument, the equipment list' should be 'Instruments and equipment list'. Missing articles.</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Instruments and equipment list and maintenance/calibration/repair/scrap records. Retention period: permanent. (Unless the product is eliminated, the final retention period of the record is 15 years after the expiry date of the last batch of product.)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T006</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QM、 QSP、通用工作指引、重大/轻微的质量管理体系变更文件、质量管理体系内审记录、管理评审记录、人员相关记录。保存期为永久保存。</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QM, QSP, general instructions, major/minor quality management system change documents,, quality management system internal audit records, management review records, personnel records. Shelf life for permanent preservation.</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terminology/grammar</w:t>
            </w:r>
          </w:p>
        </w:tc>
        <w:tc>
          <w:tcPr>
            <w:tcW w:type="dxa" w:w="792"/>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Minor</w:t>
            </w:r>
          </w:p>
        </w:tc>
        <w:tc>
          <w:tcPr>
            <w:tcW w:type="dxa" w:w="25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term 'Shelf life' is inappropriate; should be 'Retention period'. Also 'general instructions' should be 'general work instructions'. Double comma present.</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 QM, QSP, general work instructions, major/minor quality management system change documents, quality management system internal audit records, management review records, personnel records. Retention period: permanent.</w:t>
              <w:br/>
              <w:t>ZH: -</w:t>
            </w:r>
          </w:p>
        </w:tc>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bl>
    <w:p>
      <w:pPr>
        <w:spacing w:after="40"/>
      </w:pPr>
    </w:p>
    <w:p>
      <w:pPr>
        <w:pStyle w:val="Heading1"/>
      </w:pPr>
      <w:r>
        <w:t>5. Regulation consistency coverage matrix</w:t>
      </w:r>
    </w:p>
    <w:tbl>
      <w:tblPr>
        <w:tblStyle w:val="TableGrid"/>
        <w:tblW w:type="dxa" w:w="12672"/>
        <w:jc w:val="center"/>
        <w:tblLayout w:type="fixed"/>
        <w:tblLook w:firstColumn="1" w:firstRow="1" w:lastColumn="0" w:lastRow="0" w:noHBand="0" w:noVBand="1" w:val="04A0"/>
        <w:tblInd w:w="120" w:type="dxa"/>
      </w:tblPr>
      <w:tblGrid>
        <w:gridCol w:w="936"/>
        <w:gridCol w:w="1655"/>
        <w:gridCol w:w="1152"/>
        <w:gridCol w:w="648"/>
        <w:gridCol w:w="1152"/>
        <w:gridCol w:w="720"/>
        <w:gridCol w:w="2088"/>
        <w:gridCol w:w="2376"/>
        <w:gridCol w:w="1944"/>
      </w:tblGrid>
      <w:tr>
        <w:trPr>
          <w:tblHeader w:val="true"/>
        </w:trPr>
        <w:tc>
          <w:tcPr>
            <w:tcW w:type="dxa" w:w="93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Regulation clause</w:t>
            </w:r>
          </w:p>
        </w:tc>
        <w:tc>
          <w:tcPr>
            <w:tcW w:type="dxa" w:w="1655"/>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Regulation topic</w:t>
            </w:r>
          </w:p>
        </w:tc>
        <w:tc>
          <w:tcPr>
            <w:tcW w:type="dxa" w:w="115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Company section(s)</w:t>
            </w:r>
          </w:p>
        </w:tc>
        <w:tc>
          <w:tcPr>
            <w:tcW w:type="dxa" w:w="64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Pages</w:t>
            </w:r>
          </w:p>
        </w:tc>
        <w:tc>
          <w:tcPr>
            <w:tcW w:type="dxa" w:w="115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Coverage decision</w:t>
            </w:r>
          </w:p>
        </w:tc>
        <w:tc>
          <w:tcPr>
            <w:tcW w:type="dxa" w:w="7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Severity</w:t>
            </w:r>
          </w:p>
        </w:tc>
        <w:tc>
          <w:tcPr>
            <w:tcW w:type="dxa" w:w="208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Gap / missing content</w:t>
            </w:r>
          </w:p>
        </w:tc>
        <w:tc>
          <w:tcPr>
            <w:tcW w:type="dxa" w:w="23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Mapped evidence</w:t>
            </w:r>
          </w:p>
        </w:tc>
        <w:tc>
          <w:tcPr>
            <w:tcW w:type="dxa" w:w="1944"/>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Recommended action</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Quality management system - general requirements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6.10.4.3, 6.10.5, 6.3.1, —</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2, 4, 5, 7, 9, 21, 22, 28</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evidence includes supporting procedure references; underlying procedures were not reviewed in this upload.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 §—: Modified Cover Page Logo Explain the Shelf-life basis of Quality management system documents and the time basis of document Shelf life in Add the Korean standards web for search in Add the retention period of related rec p.4 §—: Re-arrange the sections. Updated section 6.3 for document release procedure which is initiated by the change request process. Updated the refer section in section 6.4 and 6.8.5. Update the web…</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referenced procedures to confirm detailed implementation.</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Medical device file</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Not found</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version lacks description of submission, review, and approval steps for regulatory update list.</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evidence found.</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English text with the full process described in Chinese. Ensure that the English version includes all procedural steps: submission for approval, review by DCC, and approval if no impact. Correct 'work dates' to 'working days'.</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Control of documents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 6.7, —</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2, 5, 6, 8, 15</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inconsistency in translation between document change and document release.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p.6 §—: Document Control Centre p.6 §—: Document Control p.15 §6.7: Control of External Document</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the actual procedure in section 6.3 to determine whether it covers document changes or releases, and ensure the translation accurately reflects the intended process.</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4.2.5</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Control of records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6.10.4.3, 6.9, —</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2, 3, 19, 21, 22</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document’s record retention policy appears to meet ISO 13485 requirements, but the inconsistency in the EU MDR section (pair 6) may cause confusion. This is not a compliance gap per se but a clarity issue.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p.19 §6.9: Record Control p.19 §6.10.4.3: The manufacturer shall retain the record for a period of time at least equivalent to the lifetime of the medical devices as defined by the manufacturer. This period shall be not less than 5 years and not less than 2 year p.21 §6.10.4.3: The manufacturer, etc. shall retain the records specified in preceding Paragraph 1 for the following period (5 years for the records concerned with th…</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English text to match the Chinese summary or vice versa to ensure consistent representation of the EU MDR retention requirement.</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Management commitment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p.7 §—: Quality management system documents (Quality Manual and Quality System Procedures) must be reviewed by relevant departments and approved by General Manager (Management Representative) before distribution.</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Quality policy</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Not found</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 Evidence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company-document evidence found for this selected-regulation topic.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evidence found.</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 whether the Quality Manual or a referenced procedure covers this topic; add or reference evidence if missing.</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Planning and quality objectives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p.26 §6.10.5: DHF class document Technical documents files such as conformance statement basic requirements the instrument specifications risk analysis Product label/instruction such as product drawings parts drawings semi-finished pr</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5.5.1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Responsibility and authority</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6.10.4.2, 6.10.5, —</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2, 7, 19, 26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 §—: Add the Preliminary handle time limit when update the list of laws if affect documents. p.7 §—: Contents include objective, scope, reference document, definition, responsibility, procedure, forms and records. p.19 §6.10.4.2: The original files storing in other departments, if need to control and distribute, the documents can be submitted to the DCC to help and put on the “Controlled Document” stamp. But file storage d…</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5.5.2</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Management representative</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p.7 §—: The new document’s approved person is determined by MR or relevant authorized representative. after that, DCC update the Document Approval Signature List . p.7 §—: Quality management system documents (Quality Manual and Quality System Procedures) must be reviewed by relevant departments and approved by General Manager (Management Representative) before distribution. p.7 §—: Changes of documents are reviewed and approv…</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5.6</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Management review</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evidence includes supporting procedure references; underlying procedures were not reviewed in this upload.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p.28 §6.10.5: QM, QSP, general instructions, major/minor quality management system change documents,, quality management system internal audit records, management review records, personnel records. Shelf life for permanent preservatio</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referenced procedures to confirm detailed implementation.</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6.2</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Human resources / competence</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6.10.4.3, —</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7, 21</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p.21 §6.10.4.3: The manufacturer, etc. shall retain the records specified in preceding Paragraph 1 for the following period (5 years for the records concerned with the training) from the date of the establishment. (1) 15 years for the p p.7 §—: The document owner/responsible department shall introduce the document to all relevant departments and train all the relevant staff.</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Infrastructure</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p.8 §6.3.1: According to the application, the Document Control Center arranges the CR NO. and Document Release Number to the applicant and records the corresponding number on the Change Request list and Document Release List. The Do p.8 §6.3.1: Document Release Form p.8 §6.3.1: If the review fails to pass the document change, the document and the document release form will be returned to the applicant.</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Work environment and contamination control</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14</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p.14 §6.4: Process Flow p.14 §6.4: Authorized Unit p.14 §6.4: Submit approved Document Request Form to DCC.</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Planning of product realization / risk management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Not found</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 Evidence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company-document evidence found for this selected-regulation topic.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evidence found.</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 whether the Quality Manual or a referenced procedure covers this topic; add or reference evidence if missing.</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7.2</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Customer-related processes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 6.10.4.3, 6.10.5, —</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5, 19, 25, 26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p.5 §—: External Documents | Refer to relevant laws, regulations, national/industrial standard, and customer provided documents (such as blueprints, product specifications, material specification and machine/equipment instructio p.19 §6.10.4.3: The Record Retention Period should base on the maximum regulatory requirement of the country that the company is selling to. If customer requires the record retention period that is lo…</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Design and development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 —</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5, 26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p.5 §—: Update 6.3.1, 6.3.2 and 6.3.3 to add CR/DR Application process; - Update 6.4.6: the retention period of the invalid document is changed to 15 years from the date of the invalid document; -Add 6.10.3.2, add the requiremen p.5 §—: Design and Development Control and New Product Introduction Control p.26 §6.10.5: DHF class document Technical documents files such as conformance statement basic requirements the instrument s…</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Purchasing</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 (2), 6.10.4.4, 6.7.8, —</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4, 5, 15, 25, 26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p.25 §6.10.4.4: Before placing an order or entering a partnership with a supplier, the Purchasing Department is required to notify the supplier that their document retention period shall be 15 years after the expiration of the validity p.5 §—: Update 6.3.1, 6.3.2 and 6.3.3 to add CR/DR Application process; - Update 6.4.6: the retention period of the invalid document is changed to 15 years from the date of the invalid document…</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7.5</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Production and service provision</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6.10.4.3, 6.10.5, —</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4, 19, 26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p.4 §—: Update the cover page logo - Modified the document retention period to 15 years after that batch production. -Modified the record retention period to 15 years after that batch production. p.26 §6.10.5: DHF class document Technical documents files such as conformance statement basic requirements the instrument specifications risk analysis Product label/instruction such as product drawings parts drawings semi-finished p…</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7.6</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Monitoring and measuring equipment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p.26 §6.10.5: The instrument, the equipment list and maintenance/calibrate/ repair/scrap record, Shelf life for permanent preservation. ( Unless the product is eliminated, the retention period of the record is 15 years after the expir</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8.2.1</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Feedback</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Not found</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 Evidence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company-document evidence found for this selected-regulation topic.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evidence found.</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 whether the Quality Manual or a referenced procedure covers this topic; add or reference evidence if missing.</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8.2.2</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Complaint handling</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p.26 §6.10.5: DHF class document Technical documents files such as conformance statement basic requirements the instrument specifications risk analysis Product label/instruction such as product drawings parts drawings semi-finished pr</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Reporting to regulatory authorities</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p.26 §6.10.5: The change documents and records of Submit to regulators, Shelf life for permanent preservation p.26 §6.10.5: Associated with regulators for product or factory audit records, Shelf life for permanent preservation p.26 §6.10.5: DHF class document Technical documents files such as conformance statement basic requirements the instrument specifications risk analysis Product label/instruction such as product drawings…</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8.2.4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Internal audit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26, 28</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evidence includes supporting procedure references; underlying procedures were not reviewed in this upload.</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p.28 §6.10.5: QM, QSP, general instructions, major/minor quality management system change documents,, quality management system internal audit records, management review records, personnel records. Shelf life for permanent preservatio p.26 §6.10.5: Associated with regulators for product or factory audit records, Shelf life for permanent preservation</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referenced procedures to confirm detailed implementation.</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Control of nonconforming product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Mapped / Evidence Found</w:t>
            </w:r>
          </w:p>
        </w:tc>
        <w:tc>
          <w:tcPr>
            <w:tcW w:type="dxa" w:w="720"/>
            <w:shd w:fill="FFFFFF"/>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None</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gap identified from mapped Quality Manual evidence.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p.26 §6.10.5: DHR class document Batch production records such as the repair order check record production process card sterilization record Single forwarder sales records contracts order review records nonconforming report the retent</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immediate action from mapping view; confirm detail in supporting procedures where applicable.</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8.4</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Analysis of data</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Not found</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 Evidence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company-document evidence found for this selected-regulation topic.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evidence found.</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 whether the Quality Manual or a referenced procedure covers this topic; add or reference evidence if missing.</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8.5.2</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Corrective action</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Not found</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 Evidence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company-document evidence found for this selected-regulation topic.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evidence found.</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 whether the Quality Manual or a referenced procedure covers this topic; add or reference evidence if missing.</w:t>
            </w:r>
          </w:p>
        </w:tc>
      </w:tr>
      <w:tr>
        <w:tc>
          <w:tcPr>
            <w:tcW w:type="dxa" w:w="93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8.5.3</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Preventive action</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Not found</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t>
            </w:r>
          </w:p>
        </w:tc>
        <w:tc>
          <w:tcPr>
            <w:tcW w:type="dxa" w:w="115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 Evidence</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208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company-document evidence found for this selected-regulation topic.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mapped evidence found.</w:t>
            </w:r>
          </w:p>
        </w:tc>
        <w:tc>
          <w:tcPr>
            <w:tcW w:type="dxa" w:w="194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Confirm whether the Quality Manual or a referenced procedure covers this topic; add or reference evidence if missing.</w:t>
            </w:r>
          </w:p>
        </w:tc>
      </w:tr>
    </w:tbl>
    <w:p>
      <w:pPr>
        <w:spacing w:after="40"/>
      </w:pPr>
    </w:p>
    <w:p>
      <w:pPr>
        <w:pStyle w:val="Heading1"/>
      </w:pPr>
      <w:r>
        <w:t>6. Regulatory consistency findings</w:t>
      </w:r>
    </w:p>
    <w:tbl>
      <w:tblPr>
        <w:tblStyle w:val="TableGrid"/>
        <w:tblW w:type="dxa" w:w="14687"/>
        <w:jc w:val="center"/>
        <w:tblLayout w:type="fixed"/>
        <w:tblLook w:firstColumn="1" w:firstRow="1" w:lastColumn="0" w:lastRow="0" w:noHBand="0" w:noVBand="1" w:val="04A0"/>
        <w:tblInd w:w="120" w:type="dxa"/>
      </w:tblPr>
      <w:tblGrid>
        <w:gridCol w:w="720"/>
        <w:gridCol w:w="1224"/>
        <w:gridCol w:w="1080"/>
        <w:gridCol w:w="1007"/>
        <w:gridCol w:w="432"/>
        <w:gridCol w:w="576"/>
        <w:gridCol w:w="1512"/>
        <w:gridCol w:w="1512"/>
        <w:gridCol w:w="1655"/>
        <w:gridCol w:w="720"/>
        <w:gridCol w:w="1440"/>
        <w:gridCol w:w="1728"/>
        <w:gridCol w:w="1080"/>
      </w:tblGrid>
      <w:tr>
        <w:trPr>
          <w:tblHeader w:val="true"/>
        </w:trPr>
        <w:tc>
          <w:tcPr>
            <w:tcW w:type="dxa" w:w="7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ID</w:t>
            </w:r>
          </w:p>
        </w:tc>
        <w:tc>
          <w:tcPr>
            <w:tcW w:type="dxa" w:w="1224"/>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Regulation</w:t>
            </w:r>
          </w:p>
        </w:tc>
        <w:tc>
          <w:tcPr>
            <w:tcW w:type="dxa" w:w="108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Clause/topic</w:t>
            </w:r>
          </w:p>
        </w:tc>
        <w:tc>
          <w:tcPr>
            <w:tcW w:type="dxa" w:w="1007"/>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Decision</w:t>
            </w:r>
          </w:p>
        </w:tc>
        <w:tc>
          <w:tcPr>
            <w:tcW w:type="dxa" w:w="43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Pg</w:t>
            </w:r>
          </w:p>
        </w:tc>
        <w:tc>
          <w:tcPr>
            <w:tcW w:type="dxa" w:w="5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Section</w:t>
            </w:r>
          </w:p>
        </w:tc>
        <w:tc>
          <w:tcPr>
            <w:tcW w:type="dxa" w:w="151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Chinese text</w:t>
            </w:r>
          </w:p>
        </w:tc>
        <w:tc>
          <w:tcPr>
            <w:tcW w:type="dxa" w:w="151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English text</w:t>
            </w:r>
          </w:p>
        </w:tc>
        <w:tc>
          <w:tcPr>
            <w:tcW w:type="dxa" w:w="1655"/>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Issue</w:t>
            </w:r>
          </w:p>
        </w:tc>
        <w:tc>
          <w:tcPr>
            <w:tcW w:type="dxa" w:w="7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Severity</w:t>
            </w:r>
          </w:p>
        </w:tc>
        <w:tc>
          <w:tcPr>
            <w:tcW w:type="dxa" w:w="144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Gap/concern</w:t>
            </w:r>
          </w:p>
        </w:tc>
        <w:tc>
          <w:tcPr>
            <w:tcW w:type="dxa" w:w="172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Recommendation</w:t>
            </w:r>
          </w:p>
        </w:tc>
        <w:tc>
          <w:tcPr>
            <w:tcW w:type="dxa" w:w="108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Manual review</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13485:2016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4.2.4 Document control</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更新了第6.3节中由变更申请过程启动的文件变更过程</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Updated section 6.3 for document release procedure which is initiated by the change request process</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translation of '文件变更过程' as 'document release procedure' introduces ambiguity regarding whether the procedure is for document changes or document releases. This may affect the clarity of the document control process described in the Quality Manual.</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Potential inconsistency in translation between document change and document release.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the actual procedure in section 6.3 to determine whether it covers document changes or releases, and ensure the translation accurately reflects the intended process.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Translation error may lead to misinterpretation of the procedure scope.</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13485:2016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 Document Control</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6.3.1, 6.4, 6.5, 6.7.11</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Multiple sections covering document change, distribution, withdrawal, borrowing, and external document control.</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Incomplete or incorrect translations as documented in translation findings.</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English translations for document control procedures are significantly incomplete or mistranslated, resulting in missing process descriptions critical for demonstrating compliance with ISO 13485:2016 clause 4.2.3. The Chinese version contains adequate evidence, but the English version lacks key steps such as document change request, review, approval, distribution, borrowing, and external document handling. A manual review is required to determine if the English version is used for regulatory submissions and to ensure both versions accurately reflect the documented procedures.</w:t>
            </w:r>
          </w:p>
        </w:tc>
        <w:tc>
          <w:tcPr>
            <w:tcW w:type="dxa" w:w="720"/>
            <w:shd w:fill="E5E7EB"/>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Observation</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text omits or misstates critical document control steps, potentially failing to demonstrate compliance if English is the regulated language.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and correct all English translations for document control sections to fully and accurately reflect the Chinese procedures. Ensure terminology consistency with ISO 13485 requirements.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Significant omissions and mistranslations in English version require manual assessment of regulatory impact and correction.</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13485:2016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4.2.3 Document Control</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Partially Compliant</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16</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6.8</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当完成最新标准和法规的查询后，提交法律法规更新表给相关负责人审批。 DCC 相关负责人对文控中心提交上来的法律法规更新表进行审核。 DCC 相关负责人审完外来文件 SAR 更新表后，如不影响其它文件，将会批准更新的文件有效。 , , 如法律法规更新表中的内容对其它文件有影响，相关负责人员需在15工作日内进行讨论再确定相关事宜。</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If the update list of the laws and regulations affect other document, the relevant person will discuss within 15 work dates and determine again.</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Partially Compliant — The English version of the document control procedure for regulatory updates omits key steps (submission, review, approval for non-impacting updates) present in the Chinese version. This could lead to inconsistent implementation or misinterpretation by English-speaking auditors.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version lacks description of submission, review, and approval steps for regulatory update list.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English text with the full process described in Chinese. Ensure that the English version includes all procedural steps: submission for approval, review by DCC, and approval if no impact. Correct 'work dates' to 'working days'.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The discrepancy between Chinese and English versions of the procedure may affect regulatory compliance; manual review is needed to determine if the intended process is fully implemented.</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13485:2016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4.2.5 Control of records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19</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6.10.4.3</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通用保存期限( + XV CHAPTER III 普通器械至少 10 年，植入式器械至少 15 年，起算点为 “最后一台器械上市之日”。 临床研究文档（XV）：研究结束后至少 10 年；若产品上市 → 按上市后 10/15 年执行</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Manufacturers shall keep the technical documentation, the EU declaration of conformity and, if applicable, a copy of any relevant certificate, including any amendments and supplements, issued in accordance with Article 56, available for the competent authorit…</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Chinese and English texts in pair 6 (EU MDR retention period) do not match; Chinese is a summary while English is a direct regulation quote. This discrepancy may lead to misinterpretation of the applicable retention period for EU MDR. Ensure that the Quality Manual consistently presents the regulatory requirement.</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document’s record retention policy appears to meet ISO 13485 requirements, but the inconsistency in the EU MDR section (pair 6) may cause confusion. This is not a compliance gap per se but a clarity issue.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Align the English text to match the Chinese summary or vice versa to ensure consistent representation of the EU MDR retention requirement.</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Inconsistent presentation of EU MDR retention periods between Chinese and English texts.</w:t>
            </w:r>
          </w:p>
        </w:tc>
      </w:tr>
      <w:tr>
        <w:tc>
          <w:tcPr>
            <w:tcW w:type="dxa" w:w="7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RF-001</w:t>
            </w:r>
          </w:p>
        </w:tc>
        <w:tc>
          <w:tcPr>
            <w:tcW w:type="dxa" w:w="12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ISO 13485:2016</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7.4.1 Purchasing control, 4.2.5 Record control</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Manual Review Required</w:t>
            </w:r>
          </w:p>
        </w:tc>
        <w:tc>
          <w:tcPr>
            <w:tcW w:type="dxa" w:w="43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25</w:t>
            </w:r>
          </w:p>
        </w:tc>
        <w:tc>
          <w:tcPr>
            <w:tcW w:type="dxa" w:w="5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备注: 相关的文件包括: 金属件: 出货检查报告和材质证明</w:t>
            </w:r>
          </w:p>
        </w:tc>
        <w:tc>
          <w:tcPr>
            <w:tcW w:type="dxa" w:w="151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Remarks: Relevant documents include the following Raw materials (e.g., plastic, silicone, ink, glue): COC / COA Metal Parts: Shipment Inspection Report and Material Certificate Plastic parts (custom made): Dimensional report / COA Plastic parts (standard part…</w:t>
            </w:r>
          </w:p>
        </w:tc>
        <w:tc>
          <w:tcPr>
            <w:tcW w:type="dxa" w:w="1655"/>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Decision: Manual Review Required — The English version of the note lists detailed document requirements for different material types (raw materials, plastic parts, packaging materials) that are absent from the Chinese version. This discrepancy could affect compliance with purchasing controls (7.4) and record control (4.2.5). It is unclear whether the Chinese version is incomplete or the English version contains unapproved additions.</w:t>
            </w:r>
          </w:p>
        </w:tc>
        <w:tc>
          <w:tcPr>
            <w:tcW w:type="dxa" w:w="720"/>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Major</w:t>
            </w:r>
          </w:p>
        </w:tc>
        <w:tc>
          <w:tcPr>
            <w:tcW w:type="dxa" w:w="14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Chinese version lacks the extensive list of required documents for raw materials, plastic parts, and packaging materials that appears in the English version. This may indicate missing requirements in the Chinese manual.</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Compare the Chinese and English versions and align them. Ensure both versions provide the same level of detail for document requirements from suppliers.</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Yes: Discrepancy between Chinese and English content; unclear which version reflects the actual procedure.</w:t>
            </w:r>
          </w:p>
        </w:tc>
      </w:tr>
    </w:tbl>
    <w:p>
      <w:pPr>
        <w:spacing w:after="40"/>
      </w:pPr>
    </w:p>
    <w:p>
      <w:pPr>
        <w:pStyle w:val="Heading1"/>
      </w:pPr>
      <w:r>
        <w:t>7. Terminology consistency findings</w:t>
      </w:r>
    </w:p>
    <w:tbl>
      <w:tblPr>
        <w:tblStyle w:val="TableGrid"/>
        <w:tblW w:type="dxa" w:w="14400"/>
        <w:jc w:val="center"/>
        <w:tblLayout w:type="fixed"/>
        <w:tblLook w:firstColumn="1" w:firstRow="1" w:lastColumn="0" w:lastRow="0" w:noHBand="0" w:noVBand="1" w:val="04A0"/>
        <w:tblInd w:w="120" w:type="dxa"/>
      </w:tblPr>
      <w:tblGrid>
        <w:gridCol w:w="1728"/>
        <w:gridCol w:w="3024"/>
        <w:gridCol w:w="2592"/>
        <w:gridCol w:w="1728"/>
        <w:gridCol w:w="1007"/>
        <w:gridCol w:w="4320"/>
      </w:tblGrid>
      <w:tr>
        <w:trPr>
          <w:tblHeader w:val="true"/>
        </w:trPr>
        <w:tc>
          <w:tcPr>
            <w:tcW w:type="dxa" w:w="172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Chinese term</w:t>
            </w:r>
          </w:p>
        </w:tc>
        <w:tc>
          <w:tcPr>
            <w:tcW w:type="dxa" w:w="3024"/>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English variants found</w:t>
            </w:r>
          </w:p>
        </w:tc>
        <w:tc>
          <w:tcPr>
            <w:tcW w:type="dxa" w:w="259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Preferred English</w:t>
            </w:r>
          </w:p>
        </w:tc>
        <w:tc>
          <w:tcPr>
            <w:tcW w:type="dxa" w:w="172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Locations</w:t>
            </w:r>
          </w:p>
        </w:tc>
        <w:tc>
          <w:tcPr>
            <w:tcW w:type="dxa" w:w="1007"/>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Severity</w:t>
            </w:r>
          </w:p>
        </w:tc>
        <w:tc>
          <w:tcPr>
            <w:tcW w:type="dxa" w:w="432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Recommendation</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质量管理体系</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Quality Management System; Paragraph</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Quality Management System</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 p.5; p.7; p.21 6.10.4.3; p.22 6.10.4.3; p.28 6.10.5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"Quality Management System"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管理者代表</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 Approval Signature List</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Management Representative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"Management Representative"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文件控制</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 Control Centre; Document Control; External Document</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Control of Documents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 p.6; p.6; p.15 6.7</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"Control of Documents"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记录控制</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Record Control; This; Paragraph; The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Control of Records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p.19 6.9; p.19 6.10.4.3; p.21 6.10.4.3; p.22 6.10.4.3</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"Control of Records"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不合格品</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Single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Nonconforming Product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p.26 6.10.5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"Nonconforming Product" consistently unless context requires otherwise.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保存期限</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Shelf-life; retention period</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retention period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Replace 'Shelf-life' with 'retention period' for consistency with ISO 13485 terminology.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文件总表更新方式</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updating way; updating method; update method</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update method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'update method' or 'method for updating' instead of 'updating way'.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CR</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CR</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Request (CR)</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Include 'CR' in English with full term on first use, e.g., 'Change Request (CR)'.</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文件变更</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 release; document change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 change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p.4; p.4; p.4</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'document change' consistently. Change 'document release' to 'document change' throughout.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WI QAD 文件编码指引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WI-04-QAD-01 (Document Numbering Instruction)</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WI-04-QAD-01 (Document Numbering Instruction)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p.6</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Align the Chinese text to include the correct document number 'WI-04-QAD-01' or verify the intended reference.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流程图</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flowchart/diagrams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flowcharts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'flowcharts' consistently.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管理者代表</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Management Representative; MR</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Management Representative</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 p.7</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'Management Representative' consistently throughout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文件责任人</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departments' heads; document owner</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 owner</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p.7; p.7</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'document owner' or 'responsible person' consistently.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文件变更申请单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 release form</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 Change Request Form</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p.8 6.3.1</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'document release form' to 'Document Change Request Form' for consistency and clarity.</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文件编码指引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QAD</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 Numbering Guideline (WI-04-QAD-01)</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p.15 6.7.11</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Replace 'QAD' with 'WI-04-QAD-01 Document Numbering Guideline' or at least 'Document Numbering Guideline'.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涂改液</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corrective white fluid; correction fluid; white-out</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correction fluid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p.18 6.10.1.2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Replace 'corrective white fluid' with 'correction fluid'.</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签名识别表</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Authorized Signature List; Signature Identification Table</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Signature Identification List</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p.18 6.10.2.1; p.18 6.10.2.2</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Consider using 'Signature Identification List' or 'Signature Identification Table' consistently to match the Chinese.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单斜线</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single straight line; single slash</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single slash</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p.18 6.10.1.5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to 'single slash' to match the Chinese original.</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程序文件和工作指引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Quality Management System and Working Instruction</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procedure documents and work instructions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p.19 6.10.4.1</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Rephrase to 'procedure documents and work instructions' to accurately reflect the Chinese.</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文件和记录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 documents</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documents and records</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p.25 6.10.4.4; p.25 (1)</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Translate '文件和记录' as 'documents and records' in all occurrences.</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保存期</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Shelf life; retention period</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retention period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p.26 6.10.5; p.26 6.10.5; p.26 6.10.5; p.28 6.10.5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Replace 'Shelf life' with 'Retention period' or 'Retention' throughout the document.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回收</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recycling</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recall</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p.26 6.10.5</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'recycling' to 'recall' in the context of post-market records.</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符合性声明</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conformance statement</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declaration of conformity</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p.26 6.10.5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'declaration of conformity' instead of 'conformance statement'.</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设计验证及确认</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design verification and confirmation</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design verification and validation</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p.26 6.10.5</w:t>
            </w:r>
          </w:p>
        </w:tc>
        <w:tc>
          <w:tcPr>
            <w:tcW w:type="dxa" w:w="1007"/>
            <w:shd w:fill="FED7AA"/>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Major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'confirmation' to 'validation' in design verification and validation documents.</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工单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repair order</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work order</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p.26 6.10.5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Change 'repair order' to 'work order'.</w:t>
            </w:r>
          </w:p>
        </w:tc>
      </w:tr>
      <w:tr>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入仓单</w:t>
            </w:r>
          </w:p>
        </w:tc>
        <w:tc>
          <w:tcPr>
            <w:tcW w:type="dxa" w:w="3024"/>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Single forwarder</w:t>
            </w:r>
          </w:p>
        </w:tc>
        <w:tc>
          <w:tcPr>
            <w:tcW w:type="dxa" w:w="25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warehouse entry record</w:t>
            </w:r>
          </w:p>
        </w:tc>
        <w:tc>
          <w:tcPr>
            <w:tcW w:type="dxa" w:w="172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p.26 6.10.5</w:t>
            </w:r>
          </w:p>
        </w:tc>
        <w:tc>
          <w:tcPr>
            <w:tcW w:type="dxa" w:w="1007"/>
            <w:shd w:fill="DBEAFE"/>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Minor</w:t>
            </w:r>
          </w:p>
        </w:tc>
        <w:tc>
          <w:tcPr>
            <w:tcW w:type="dxa" w:w="432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5"/>
              </w:rPr>
              <w:t>Use 'warehouse entry record' or 'receiving record'.</w:t>
            </w:r>
          </w:p>
        </w:tc>
      </w:tr>
    </w:tbl>
    <w:p>
      <w:pPr>
        <w:spacing w:after="40"/>
      </w:pPr>
    </w:p>
    <w:p>
      <w:pPr>
        <w:pStyle w:val="Heading1"/>
      </w:pPr>
      <w:r>
        <w:t>8. Unpaired / uncertain blocks for manual review</w:t>
      </w:r>
    </w:p>
    <w:tbl>
      <w:tblPr>
        <w:tblStyle w:val="TableGrid"/>
        <w:tblW w:type="dxa" w:w="14400"/>
        <w:jc w:val="center"/>
        <w:tblLayout w:type="fixed"/>
        <w:tblLook w:firstColumn="1" w:firstRow="1" w:lastColumn="0" w:lastRow="0" w:noHBand="0" w:noVBand="1" w:val="04A0"/>
        <w:tblInd w:w="120" w:type="dxa"/>
      </w:tblPr>
      <w:tblGrid>
        <w:gridCol w:w="503"/>
        <w:gridCol w:w="648"/>
        <w:gridCol w:w="1080"/>
        <w:gridCol w:w="2376"/>
        <w:gridCol w:w="2376"/>
        <w:gridCol w:w="2376"/>
        <w:gridCol w:w="1007"/>
        <w:gridCol w:w="3240"/>
        <w:gridCol w:w="792"/>
      </w:tblGrid>
      <w:tr>
        <w:trPr>
          <w:tblHeader w:val="true"/>
        </w:trPr>
        <w:tc>
          <w:tcPr>
            <w:tcW w:type="dxa" w:w="503"/>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Page</w:t>
            </w:r>
          </w:p>
        </w:tc>
        <w:tc>
          <w:tcPr>
            <w:tcW w:type="dxa" w:w="648"/>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Section</w:t>
            </w:r>
          </w:p>
        </w:tc>
        <w:tc>
          <w:tcPr>
            <w:tcW w:type="dxa" w:w="108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Content type</w:t>
            </w:r>
          </w:p>
        </w:tc>
        <w:tc>
          <w:tcPr>
            <w:tcW w:type="dxa" w:w="23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Chinese</w:t>
            </w:r>
          </w:p>
        </w:tc>
        <w:tc>
          <w:tcPr>
            <w:tcW w:type="dxa" w:w="23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Machine translation</w:t>
            </w:r>
          </w:p>
        </w:tc>
        <w:tc>
          <w:tcPr>
            <w:tcW w:type="dxa" w:w="2376"/>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English / unpaired text</w:t>
            </w:r>
          </w:p>
        </w:tc>
        <w:tc>
          <w:tcPr>
            <w:tcW w:type="dxa" w:w="1007"/>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Pair status</w:t>
            </w:r>
          </w:p>
        </w:tc>
        <w:tc>
          <w:tcPr>
            <w:tcW w:type="dxa" w:w="3240"/>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Reason</w:t>
            </w:r>
          </w:p>
        </w:tc>
        <w:tc>
          <w:tcPr>
            <w:tcW w:type="dxa" w:w="792"/>
            <w:shd w:fill="19324A"/>
            <w:tcMar>
              <w:top w:w="80" w:type="dxa"/>
              <w:start w:w="120" w:type="dxa"/>
              <w:bottom w:w="80" w:type="dxa"/>
              <w:end w:w="120" w:type="dxa"/>
            </w:tcMar>
            <w:vAlign w:val="center"/>
          </w:tcPr>
          <w:p>
            <w:pPr>
              <w:spacing w:before="0" w:after="40" w:line="252" w:lineRule="auto"/>
            </w:pPr>
            <w:r>
              <w:rPr>
                <w:rFonts w:ascii="Arial" w:hAnsi="Arial" w:eastAsia="Microsoft YaHei"/>
                <w:b/>
                <w:color w:val="FFFFFF"/>
                <w:sz w:val="14"/>
              </w:rPr>
              <w:t>Confidence</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change_history</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 修改6.1.3 填写变更申请单部分 修改6.1.4 DCC 受控文件的分发 更新法规查询地址 修改6.3.1，去掉质量记录中使用蓝色圆珠笔 更新法规及取消 SAR 号。 | 2019-05-08</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K | Revise 6.1.3 Fill in the change request form part; Revise 6.1.4 Distribution of DCC controlled documents; Update regulatory query address; Revise 6.3.1, remove the use of blue ballpoint pen in quality records; Update regulations and cancel SAR number. | 2019-05-08</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及有关质量体系要求或质量体系有效运作的文件等。</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and documents related to quality system requirements or effective operation of the quality system, etc.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All other documents regarding to the requirement in quality system for its effective operation.</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正本文件： | 正本文件是经编写、评审及批准人签名的有效文件，非影印本，如有影印本作正本时，应加盖红色“正本文件”印章。</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Original Document: | Original document is a valid document signed by the preparer, reviewer, and approver, not a photocopy. If a photocopy serves as the original, it should be stamped with a red 'Original Document' seal.</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Original Copy: | Effective documents should have been signed by its author, reviewer and approver. Copy can be used as original document if necessary, but it must apply “Original Copy” stamp on the document.</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refers to 'original document' while English refers to 'original copy'; content differs significantly, partial match.</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对影响其部门的文件进行评审并向文件发行部门提出任何更新的建议；</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documents affecting their department and make any update recommendations to the document issuing department;</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Review document affecting his/her department and advise for improvement to the publisher.</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归文件和保管所有需存放在 DCC 的正本文件；</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Archive and keep all original documents that need to be stored in DCC;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File and maintain all original copies should be stored in DCC.</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Procedure</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程序 PROCEDURE</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Responsibilities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职责 RESPONSIBILITY</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Operation Decision Joint</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运作Operation 决定 Decision 连接Joint</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 首先申请人需向文控中心申请拿变更申请单编号，当变更申请单( FM004 的部份4完成建议变更批准后，若申请人计划以变更文件为跟进行动或实施行动，申请人需要填写文件变更申请单( FM199 CR DCC , FM004 , , FM199 当申请人在填写文件变更申请单时，需再向文控中心申请文件变更编号 , DCC 文控中心根据以上申请，安排申请的编号给申请人。同时将其申请的编号记录在变更申请单和文件变更申请单一览表上。两份表需每3个月打印一次。3个月未完成的变更申请单和文件变更申请单，应通过电邮通知到相关人员跟进完成。</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According to the application, the Document Control Center arranges the CR NO. and Document Release Number to the applicant and records the corresponding number on the Change Request list and Document Release List. The Document Release List must be printed every 3 months. The Document Release Form which has not been completed within 3 months, email shall be sent to applicant to follow up and compl…</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covers only part of the Chinese content (about numbering and printing), missing the initial steps. Partial translation.</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变更申请单 文件变更申请单</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 Release Form</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includes two form names (变更申请单 and 文件变更申请单) while English only references one (Document Release Form); partial translation.</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文控中心 DCC 申请人 评审人员</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relevant reviewers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lists multiple roles (文控中心, DCC, 申请人, 评审人员) but English only provides 'relevant reviewers'; partial match.</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变更申请单 文件变更申请单</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 Release Form</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includes two form names while English only references one; partial translation.</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If , If 若审核未能通过变更申请，变更申请单退回给申请人。 If , 当申请人完成变更申请单的所有部分后，需要递交给文控中心检查。 DCC 文控中心收到后，会依据（WI QAD）来检查. DCC WI QAD 文控中心根据6.4规定分发/保存文件 DCC 变更过程中可发行草稿版本文件，版本号定义为 …，草稿版本可与变更前版本共存，待变更完成后发行变更后版本时，草稿版本与变更前版本同时失效。</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draft version file can be issued in the process of change, and the version number is defined as X1.X2.X3... The draft version can coexist with the version before the change. When the changed version is released after the change is complete, the draft version and the version before the change become invalid at the same time.</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only covers the draft version part, while Chinese includes additional content about rejection, submission, and DCC checks; partial match.</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申请人 评审人员 申请人 文控中心 DCC 文控中心 DCC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Relevant reviewers</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lists multiple roles (申请人, 评审人员, 文控中心, DCC) but English only provides 'Relevant reviewers'; partial match.</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30%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文件负责部门 文控中心 DCC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 responsible department</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lists multiple responsible units ('文件负责部门 文控中心 DCC'), but English only includes 'Document responsible department'. Partial translation; missing 'DCC' and possibly more.</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50%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11</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6.3.1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正本文件 变更申请单 文件变更申请单 文件分发/回收记录 文件分发/回收记录 文件总表 文件分发/回收记录</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 Distribution/ Withdrawal Record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lists several record types, but English only provides 'Document Distribution/ Withdrawal Record'. Incomplete match; likely multiple items in the cell.</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40%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文控中心更新文件总表 DCC 文控中心保存文件需求申请单及文件分发/回收记录</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DCC files and maintains Document Request Form and Document Distribution/withdrawal Record.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only covers the second part of the Chinese; the first part '文控中心更新文件总表' is missing.</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14</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文件总表 文件需求申请单 文件分发/回收记录</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 Distribution/ Withdrawal Record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lists three items, but English only provides one of them.</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文控中心根据申请人的借阅情况，借出相应的文件，并在文件借阅记录上进行登记。</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DCC registers the related information on the Document Lending Record.</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English translation omits the action of lending documents; only mentions registration.</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65%</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6.7.11</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DCC assigns document number to external documents according to WI-04-QAD-01 (Document Numbering Instruction) and updates External Document Master List.</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6.8</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法律法规查询的网站包含，但不限于以下地址：</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Websites for querying laws and regulations include, but are not limited to, the following addresses:</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Each department record Store Distribute and Withdraw</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19</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6.10.4.3</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本文件中出现的法规标准，其引用的版本号均以 DCC 每三个月更新的法律法规表为准。</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For the regulatory standards appearing in this document, the referenced version numbers shall be based on the laws and regulations list updated every three months by DCC.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6.10.4</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各部门文件记录的存放、分发和回收</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Storage, distribution, and retrieval of documents and records in each department</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Raw materials (plastic, silicone, ink, glue): COC / COA</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原材料 ( 塑料 , 硅胶, 油墨 , 胶水) : COC / COA</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Plastic parts (standard parts): COA</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塑料件 (标准件) : COA</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25</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paragraph</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Packaging material: COC (including material data)</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包装材料 : COC (包括材料的数据)</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unpaired</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26</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Obsolete documents need to check and straighten once a year at least , After the document is expired, all documents will be destroy.</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missing_chinese</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27</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6.10.5</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heading</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正本的作废文件每年统一查阅整理，过期的正本文件统一由 DCC 销毁处理。</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The obsolete original documents are uniformly reviewed and sorted every year, and the expired original documents are uniformly destroyed by DCC.</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missing_english</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No candidate met the strict translated-Chinese similarity threshold.</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文件变更申请单</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 release form</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'文件变更申请单' means 'Document Change Request Form', but English 'Document release form' is incorrect; mismatch in meaning.</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90%</w:t>
            </w:r>
          </w:p>
        </w:tc>
      </w:tr>
      <w:tr>
        <w:tc>
          <w:tcPr>
            <w:tcW w:type="dxa" w:w="503"/>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28</w:t>
            </w:r>
          </w:p>
        </w:tc>
        <w:tc>
          <w:tcPr>
            <w:tcW w:type="dxa" w:w="648"/>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7</w:t>
            </w:r>
          </w:p>
        </w:tc>
        <w:tc>
          <w:tcPr>
            <w:tcW w:type="dxa" w:w="108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table_row</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文件变更申请单一览表</w:t>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r>
          </w:p>
        </w:tc>
        <w:tc>
          <w:tcPr>
            <w:tcW w:type="dxa" w:w="2376"/>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Document release list</w:t>
            </w:r>
          </w:p>
        </w:tc>
        <w:tc>
          <w:tcPr>
            <w:tcW w:type="dxa" w:w="1007"/>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PairStatus.uncertain</w:t>
            </w:r>
          </w:p>
        </w:tc>
        <w:tc>
          <w:tcPr>
            <w:tcW w:type="dxa" w:w="3240"/>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Chinese text '文件变更申请单一览表' means 'Document Change Request List', but English is 'Document release list'. These are not translations of each other. The pair appears in a table reference context, but the English does not match the Chinese.</w:t>
            </w:r>
          </w:p>
        </w:tc>
        <w:tc>
          <w:tcPr>
            <w:tcW w:type="dxa" w:w="792"/>
            <w:tcMar>
              <w:top w:w="80" w:type="dxa"/>
              <w:start w:w="120" w:type="dxa"/>
              <w:bottom w:w="80" w:type="dxa"/>
              <w:end w:w="120" w:type="dxa"/>
            </w:tcMar>
            <w:vAlign w:val="center"/>
          </w:tcPr>
          <w:p>
            <w:pPr>
              <w:spacing w:before="0" w:after="40" w:line="252" w:lineRule="auto"/>
            </w:pPr>
            <w:r>
              <w:rPr>
                <w:rFonts w:ascii="Arial" w:hAnsi="Arial" w:eastAsia="Microsoft YaHei"/>
                <w:b w:val="0"/>
                <w:color w:val="000000"/>
                <w:sz w:val="13"/>
              </w:rPr>
              <w:t>20%</w:t>
            </w:r>
          </w:p>
        </w:tc>
      </w:tr>
    </w:tbl>
    <w:p>
      <w:pPr>
        <w:spacing w:after="40"/>
      </w:pPr>
    </w:p>
    <w:p>
      <w:pPr>
        <w:pStyle w:val="Heading1"/>
      </w:pPr>
      <w:r>
        <w:t>9. Extraction / OCR uncertainty</w:t>
      </w:r>
    </w:p>
    <w:p>
      <w:pPr>
        <w:pStyle w:val="ListBullet"/>
        <w:spacing w:before="0" w:after="40" w:line="252" w:lineRule="auto"/>
      </w:pPr>
      <w:r>
        <w:rPr>
          <w:rFonts w:ascii="Arial" w:hAnsi="Arial" w:eastAsia="Microsoft YaHei"/>
          <w:b w:val="0"/>
          <w:color w:val="000000"/>
          <w:sz w:val="17"/>
        </w:rPr>
        <w:t>DOCX-only extraction: Word body order, numbering XML, rendered page breaks, and TOC anchors were used to assign visible manual pages; stale DOCX header page fields were not trusted.</w:t>
      </w:r>
    </w:p>
    <w:p>
      <w:pPr>
        <w:pStyle w:val="ListBullet"/>
        <w:spacing w:before="0" w:after="40" w:line="252" w:lineRule="auto"/>
      </w:pPr>
      <w:r>
        <w:rPr>
          <w:rFonts w:ascii="Arial" w:hAnsi="Arial" w:eastAsia="Microsoft YaHei"/>
          <w:b w:val="0"/>
          <w:color w:val="000000"/>
          <w:sz w:val="17"/>
        </w:rPr>
        <w:t>文档为品质手册（Quality Manual），多处引用QMS术语，且明确提及GB/T 42061-2022/ISO 13485:2016作为记录控制依据，符合QMS标准作为主要目标的原则。香港MDACS仅作为市场法规引用，非主要结构依据。</w:t>
      </w:r>
    </w:p>
    <w:p>
      <w:pPr>
        <w:pStyle w:val="Heading1"/>
      </w:pPr>
      <w:r>
        <w:t>10. Disclaimer</w:t>
      </w:r>
    </w:p>
    <w:p>
      <w:pPr>
        <w:spacing w:before="0" w:after="40" w:line="252" w:lineRule="auto"/>
      </w:pPr>
      <w:r>
        <w:rPr>
          <w:rFonts w:ascii="Arial" w:hAnsi="Arial" w:eastAsia="Microsoft YaHei"/>
          <w:b/>
          <w:color w:val="9B1C1C"/>
          <w:sz w:val="19"/>
        </w:rPr>
        <w:t>This report is generated by an AI-assisted tool for preliminary translation and regulatory consistency review. It does not constitute legal, regulatory, certification, or notified-body advice. Final decisions must be made by qualified regulatory and quality professionals.</w:t>
      </w:r>
    </w:p>
    <w:sectPr w:rsidR="00FC693F" w:rsidRPr="0006063C" w:rsidSect="00034616">
      <w:pgSz w:w="15840" w:h="12240" w:orient="landscape"/>
      <w:pgMar w:top="936" w:right="792" w:bottom="936"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b w:val="0"/>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52" w:lineRule="auto"/>
    </w:pPr>
    <w:r>
      <w:rPr>
        <w:rFonts w:ascii="Arial" w:hAnsi="Arial" w:eastAsia="Microsoft YaHei"/>
        <w:b/>
        <w:color w:val="667085"/>
        <w:sz w:val="16"/>
      </w:rPr>
      <w:t>Bilingual Translation and Regulatory Consistency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Microsoft YaHei"/>
      <w:b/>
      <w:bCs/>
      <w:color w:val="19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