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b58d7f50ad0b2b62ee969f00aa80c84f56d61"/>
      <w:r>
        <w:t xml:space="preserve">DAAC: 다중 에이전트 이미지 위변조 탐지를 위한 불일치 인식 적응형 합의 기법</w:t>
      </w:r>
      <w:bookmarkEnd w:id="20"/>
    </w:p>
    <w:p>
      <w:r>
        <w:pict>
          <v:rect style="width:0;height:1.5pt" o:hralign="center" o:hrstd="t" o:hr="t"/>
        </w:pict>
      </w:r>
    </w:p>
    <w:p>
      <w:pPr>
        <w:pStyle w:val="Heading2"/>
      </w:pPr>
      <w:bookmarkStart w:id="21" w:name="요약"/>
      <w:r>
        <w:t xml:space="preserve">요약</w:t>
      </w:r>
      <w:bookmarkEnd w:id="21"/>
    </w:p>
    <w:p>
      <w:pPr>
        <w:pStyle w:val="FirstParagraph"/>
      </w:pPr>
      <w:r>
        <w:t xml:space="preserve">생성형 AI 확산으로 이미지 위변조는 편집 조작에서 Diffusion·GAN 기반 합성까지 다양해졌고, 단일 탐지기는 도메인 편향을 피하기 어렵다. 다중 전문 에이전트를 조합하는 접근이 해법이나, 기존 trust 기반 규칙형 합의(COBRA)는 에이전트 간 구조적 불일치 패턴을 학습하지 못한다는 한계가 있다. 본 논문은 에이전트 간 불일치를 43차원 메타 특징으로 학습하는</w:t>
      </w:r>
      <w:r>
        <w:t xml:space="preserve"> </w:t>
      </w:r>
      <w:r>
        <w:rPr>
          <w:b/>
        </w:rPr>
        <w:t xml:space="preserve">DAAC(Disagreement-Aware Adaptive Consensus)</w:t>
      </w:r>
      <w:r>
        <w:t xml:space="preserve"> </w:t>
      </w:r>
      <w:r>
        <w:t xml:space="preserve">기법을 제안한다. 4개 전문 에이전트, 1,500장, 10-seed 반복 평가에서 DAAC-GBM은 macro-F1 0.861로 COBRA(0.266) 대비 유의하게 우수하며(p=0.00195), 6개 데이터 조합 60회 반복에서도 일관된 우위를 확인했다(sign 60/0, p=1.63e-11).</w:t>
      </w:r>
    </w:p>
    <w:p>
      <w:r>
        <w:pict>
          <v:rect style="width:0;height:1.5pt" o:hralign="center" o:hrstd="t" o:hr="t"/>
        </w:pict>
      </w:r>
    </w:p>
    <w:p>
      <w:pPr>
        <w:pStyle w:val="Heading2"/>
      </w:pPr>
      <w:bookmarkStart w:id="22" w:name="서론"/>
      <w:r>
        <w:t xml:space="preserve">1. 서론</w:t>
      </w:r>
      <w:bookmarkEnd w:id="22"/>
    </w:p>
    <w:p>
      <w:pPr>
        <w:pStyle w:val="FirstParagraph"/>
      </w:pPr>
      <w:r>
        <w:t xml:space="preserve">이미지 위변조 탐지는 JPEG 압축 흔적, 센서 노이즈 불일치, 공간적 조작 흔적, 생성 모델 아티팩트 등 이질적 단서를 동시에 처리해야 한다. 단일 모델의 도메인 편향은 오탐·미탐으로 직결되므로, 서로 다른 탐지 원리를 가진 다수의 전문 에이전트를 조합하는 다중 에이전트 접근이 자연스러운 해법이다.</w:t>
      </w:r>
    </w:p>
    <w:p>
      <w:pPr>
        <w:pStyle w:val="BodyText"/>
      </w:pPr>
      <w:r>
        <w:t xml:space="preserve">그러나</w:t>
      </w:r>
      <w:r>
        <w:t xml:space="preserve"> </w:t>
      </w:r>
      <w:r>
        <w:rPr>
          <w:b/>
        </w:rPr>
        <w:t xml:space="preserve">합의(consensus) 단계가 병목</w:t>
      </w:r>
      <w:r>
        <w:t xml:space="preserve">이 된다. 기존 trust 기반 규칙형 합의(COBRA 계열: RoT/DRWA/AVGA)는 사전 고정된 trust 점수와 handcrafted 수식으로 집계를 수행한다. 이는 에이전트들이 특정 클래스에 대해 가지는 구조적 맹점—AI 생성 이미지를 감지 못하는 주파수 분석 에이전트, 조작 탐지 능력이 없는 생성 탐지 에이전트—의 패턴을 데이터로부터 학습하지 못한다.</w:t>
      </w:r>
    </w:p>
    <w:p>
      <w:pPr>
        <w:pStyle w:val="BodyText"/>
      </w:pPr>
      <w:r>
        <w:t xml:space="preserve">본 논문은</w:t>
      </w:r>
      <w:r>
        <w:t xml:space="preserve"> </w:t>
      </w:r>
      <w:r>
        <w:rPr>
          <w:b/>
        </w:rPr>
        <w:t xml:space="preserve">DAAC</w:t>
      </w:r>
      <w:r>
        <w:t xml:space="preserve"> </w:t>
      </w:r>
      <w:r>
        <w:t xml:space="preserve">기법을 제안한다. 핵심 아이디어는</w:t>
      </w:r>
      <w:r>
        <w:t xml:space="preserve"> </w:t>
      </w:r>
      <w:r>
        <w:t xml:space="preserve">“</w:t>
      </w:r>
      <w:r>
        <w:t xml:space="preserve">누가 맞았는가</w:t>
      </w:r>
      <w:r>
        <w:t xml:space="preserve">”</w:t>
      </w:r>
      <w:r>
        <w:t xml:space="preserve">가 아닌</w:t>
      </w:r>
      <w:r>
        <w:t xml:space="preserve"> </w:t>
      </w:r>
      <w:r>
        <w:rPr>
          <w:b/>
        </w:rPr>
        <w:t xml:space="preserve">“</w:t>
      </w:r>
      <w:r>
        <w:rPr>
          <w:b/>
        </w:rPr>
        <w:t xml:space="preserve">에이전트들이 어떻게 서로 다르게 틀리는가</w:t>
      </w:r>
      <w:r>
        <w:rPr>
          <w:b/>
        </w:rPr>
        <w:t xml:space="preserve">”</w:t>
      </w:r>
      <w:r>
        <w:t xml:space="preserve"> </w:t>
      </w:r>
      <w:r>
        <w:t xml:space="preserve">를 학습 신호로 활용하는 것이다. 에이전트 간 pairwise 충돌로 구성된 43차원 메타 특징 위에 GBM 분류기를 학습하면, 개별 에이전트의 클래스별 맹점이 오히려 풍부한 구분 신호로 전환된다.</w:t>
      </w:r>
    </w:p>
    <w:p>
      <w:r>
        <w:pict>
          <v:rect style="width:0;height:1.5pt" o:hralign="center" o:hrstd="t" o:hr="t"/>
        </w:pict>
      </w:r>
    </w:p>
    <w:p>
      <w:pPr>
        <w:pStyle w:val="Heading2"/>
      </w:pPr>
      <w:bookmarkStart w:id="23" w:name="관련-연구"/>
      <w:r>
        <w:t xml:space="preserve">2. 관련 연구</w:t>
      </w:r>
      <w:bookmarkEnd w:id="23"/>
    </w:p>
    <w:p>
      <w:pPr>
        <w:pStyle w:val="FirstParagraph"/>
      </w:pPr>
      <w:r>
        <w:t xml:space="preserve">COBRA[1]는 에이전트별 trust 점수 기반 합의를 제공하며 RoT/DRWA/AVGA 세 변형을 포함한다. DRWA는 샘플별 분산으로 가중치를 조정하고 AVGA는 softmax temperature를 조정하지만, 모두 사전 고정된 trust 점수를 출발점으로 삼는 handcrafted 규칙이다. oracle trust를 사용해도 F1이 오히려 소폭 하락하여 합의 방식 자체의 표현력 한계가 지배적임을 확인한다. 이미지 포렌식 분야에서는 FatFormer[2], TruFor[3] 등이 제안되었으나, 다중 에이전트 합의 단계에서 불일치 패턴을 학습 신호로 활용한 연구는 드물다.</w:t>
      </w:r>
    </w:p>
    <w:p>
      <w:r>
        <w:pict>
          <v:rect style="width:0;height:1.5pt" o:hralign="center" o:hrstd="t" o:hr="t"/>
        </w:pict>
      </w:r>
    </w:p>
    <w:p>
      <w:pPr>
        <w:pStyle w:val="Heading2"/>
      </w:pPr>
      <w:bookmarkStart w:id="24" w:name="daac-기법"/>
      <w:r>
        <w:t xml:space="preserve">3. DAAC 기법</w:t>
      </w:r>
      <w:bookmarkEnd w:id="24"/>
    </w:p>
    <w:p>
      <w:pPr>
        <w:pStyle w:val="Heading3"/>
      </w:pPr>
      <w:bookmarkStart w:id="25" w:name="문제-정의"/>
      <w:r>
        <w:t xml:space="preserve">3.1 문제 정의</w:t>
      </w:r>
      <w:bookmarkEnd w:id="25"/>
    </w:p>
    <w:p>
      <w:pPr>
        <w:pStyle w:val="FirstParagraph"/>
      </w:pPr>
      <m:oMath>
        <m:r>
          <m:t>n</m:t>
        </m:r>
      </m:oMath>
      <w:r>
        <w:t xml:space="preserve">개의 에이전트가 이미지</w:t>
      </w:r>
      <w:r>
        <w:t xml:space="preserve"> </w:t>
      </w:r>
      <m:oMath>
        <m:r>
          <m:t>x</m:t>
        </m:r>
      </m:oMath>
      <w:r>
        <w:t xml:space="preserve">에 대해 판정</w:t>
      </w:r>
      <w:r>
        <w:t xml:space="preserve"> </w:t>
      </w:r>
      <m:oMath>
        <m:sSub>
          <m:e>
            <m:r>
              <m:t>v</m:t>
            </m:r>
          </m:e>
          <m:sub>
            <m:r>
              <m:t>i</m:t>
            </m:r>
          </m:sub>
        </m:sSub>
        <m:r>
          <m:t>∈</m:t>
        </m:r>
        <m:r>
          <m:rPr>
            <m:sty m:val="p"/>
            <m:scr m:val="script"/>
          </m:rPr>
          <m:t>V</m:t>
        </m:r>
      </m:oMath>
      <w:r>
        <w:t xml:space="preserve">와 confidence</w:t>
      </w:r>
      <w:r>
        <w:t xml:space="preserve"> </w:t>
      </w:r>
      <m:oMath>
        <m:sSub>
          <m:e>
            <m:r>
              <m:t>c</m:t>
            </m:r>
          </m:e>
          <m:sub>
            <m:r>
              <m:t>i</m:t>
            </m:r>
          </m:sub>
        </m:sSub>
        <m:r>
          <m:t>∈</m:t>
        </m:r>
        <m:r>
          <m:t>[</m:t>
        </m:r>
        <m:r>
          <m:t>0</m:t>
        </m:r>
        <m:r>
          <m:t>,</m:t>
        </m:r>
        <m:r>
          <m:t>1</m:t>
        </m:r>
        <m:r>
          <m:t>]</m:t>
        </m:r>
      </m:oMath>
      <w:r>
        <w:t xml:space="preserve">을 독립 산출한다. 여기서</w:t>
      </w:r>
      <w:r>
        <w:t xml:space="preserve"> </w:t>
      </w:r>
      <m:oMath>
        <m:r>
          <m:rPr>
            <m:sty m:val="p"/>
            <m:scr m:val="script"/>
          </m:rPr>
          <m:t>V</m:t>
        </m:r>
        <m:r>
          <m:t>=</m:t>
        </m:r>
        <m:r>
          <m:t>{</m:t>
        </m:r>
      </m:oMath>
      <w:r>
        <w:t xml:space="preserve">authentic, manipulated, ai_generated, uncertain</w:t>
      </w:r>
      <m:oMath>
        <m:r>
          <m:t>}</m:t>
        </m:r>
      </m:oMath>
      <w:r>
        <w:t xml:space="preserve">은 에이전트 수준의 판정 집합이다.</w:t>
      </w:r>
      <w:r>
        <w:t xml:space="preserve"> </w:t>
      </w:r>
      <w:r>
        <w:t xml:space="preserve">DAAC의 학습 목표는 최종 클래스</w:t>
      </w:r>
      <w:r>
        <w:t xml:space="preserve"> </w:t>
      </w:r>
      <m:oMath>
        <m:r>
          <m:rPr>
            <m:sty m:val="p"/>
            <m:scr m:val="script"/>
          </m:rPr>
          <m:t>C</m:t>
        </m:r>
        <m:r>
          <m:t>=</m:t>
        </m:r>
        <m:r>
          <m:t>{</m:t>
        </m:r>
      </m:oMath>
      <w:r>
        <w:t xml:space="preserve">authentic, manipulated, ai_generated</w:t>
      </w:r>
      <m:oMath>
        <m:r>
          <m:t>}</m:t>
        </m:r>
      </m:oMath>
      <w:r>
        <w:t xml:space="preserve">에 대한 합의 함수</w:t>
      </w:r>
      <w:r>
        <w:t xml:space="preserve"> </w:t>
      </w:r>
      <m:oMath>
        <m:r>
          <m:t>f</m:t>
        </m:r>
        <m:r>
          <m:t>:</m:t>
        </m:r>
        <m:r>
          <m:t>{</m:t>
        </m:r>
        <m:r>
          <m:t>(</m:t>
        </m:r>
        <m:sSub>
          <m:e>
            <m:r>
              <m:t>v</m:t>
            </m:r>
          </m:e>
          <m:sub>
            <m:r>
              <m:t>i</m:t>
            </m:r>
          </m:sub>
        </m:sSub>
        <m:r>
          <m:t>,</m:t>
        </m:r>
        <m:sSub>
          <m:e>
            <m:r>
              <m:t>c</m:t>
            </m:r>
          </m:e>
          <m:sub>
            <m:r>
              <m:t>i</m:t>
            </m:r>
          </m:sub>
        </m:sSub>
        <m:r>
          <m:t>)</m:t>
        </m:r>
        <m:sSubSup>
          <m:e>
            <m:r>
              <m:t>}</m:t>
            </m:r>
          </m:e>
          <m:sub>
            <m:r>
              <m:t>i</m:t>
            </m:r>
            <m:r>
              <m:t>=</m:t>
            </m:r>
            <m:r>
              <m:t>1</m:t>
            </m:r>
          </m:sub>
          <m:sup>
            <m:r>
              <m:t>n</m:t>
            </m:r>
          </m:sup>
        </m:sSubSup>
        <m:r>
          <m:t>→</m:t>
        </m:r>
        <m:r>
          <m:rPr>
            <m:sty m:val="p"/>
            <m:scr m:val="script"/>
          </m:rPr>
          <m:t>C</m:t>
        </m:r>
      </m:oMath>
      <w:r>
        <w:t xml:space="preserve">를 데이터로부터 학습하는 것이다. COBRA는</w:t>
      </w:r>
      <w:r>
        <w:t xml:space="preserve"> </w:t>
      </w:r>
      <m:oMath>
        <m:r>
          <m:t>f</m:t>
        </m:r>
      </m:oMath>
      <w:r>
        <w:t xml:space="preserve">를 handcrafted 수식으로 정의하지만, DAAC는 불일치 구조를 포함한 43차원 메타 특징 위에서</w:t>
      </w:r>
      <w:r>
        <w:t xml:space="preserve"> </w:t>
      </w:r>
      <m:oMath>
        <m:r>
          <m:t>f</m:t>
        </m:r>
      </m:oMath>
      <w:r>
        <w:t xml:space="preserve">를 학습한다.</w:t>
      </w:r>
    </w:p>
    <w:p>
      <w:pPr>
        <w:pStyle w:val="Heading3"/>
      </w:pPr>
      <w:bookmarkStart w:id="26" w:name="차원-메타-특징-설계"/>
      <w:r>
        <w:t xml:space="preserve">3.2 43차원 메타 특징 설계</w:t>
      </w:r>
      <w:bookmarkEnd w:id="26"/>
    </w:p>
    <w:tbl>
      <w:tblPr>
        <w:tblStyle w:val="Table"/>
        <w:tblW w:type="pct" w:w="5000.0"/>
        <w:tblLook w:firstRow="1"/>
      </w:tblPr>
      <w:tblGrid>
        <w:gridCol w:w="2970"/>
        <w:gridCol w:w="2970"/>
        <w:gridCol w:w="1980"/>
      </w:tblGrid>
      <w:tr>
        <w:trPr>
          <w:cnfStyle w:firstRow="1"/>
        </w:trPr>
        <w:tc>
          <w:tcPr>
            <w:tcBorders>
              <w:bottom w:val="single"/>
            </w:tcBorders>
            <w:vAlign w:val="bottom"/>
          </w:tcPr>
          <w:p>
            <w:pPr>
              <w:pStyle w:val="Compact"/>
              <w:jc w:val="left"/>
            </w:pPr>
            <w:r>
              <w:t xml:space="preserve">그룹</w:t>
            </w:r>
          </w:p>
        </w:tc>
        <w:tc>
          <w:tcPr>
            <w:tcBorders>
              <w:bottom w:val="single"/>
            </w:tcBorders>
            <w:vAlign w:val="bottom"/>
          </w:tcPr>
          <w:p>
            <w:pPr>
              <w:pStyle w:val="Compact"/>
              <w:jc w:val="left"/>
            </w:pPr>
            <w:r>
              <w:t xml:space="preserve">내용</w:t>
            </w:r>
          </w:p>
        </w:tc>
        <w:tc>
          <w:tcPr>
            <w:tcBorders>
              <w:bottom w:val="single"/>
            </w:tcBorders>
            <w:vAlign w:val="bottom"/>
          </w:tcPr>
          <w:p>
            <w:pPr>
              <w:pStyle w:val="Compact"/>
              <w:jc w:val="right"/>
            </w:pPr>
            <w:r>
              <w:t xml:space="preserve">차원</w:t>
            </w:r>
          </w:p>
        </w:tc>
      </w:tr>
      <w:tr>
        <w:tc>
          <w:p>
            <w:pPr>
              <w:pStyle w:val="Compact"/>
              <w:jc w:val="left"/>
            </w:pPr>
            <w:r>
              <w:t xml:space="preserve">Per-agent</w:t>
            </w:r>
          </w:p>
        </w:tc>
        <w:tc>
          <w:p>
            <w:pPr>
              <w:pStyle w:val="Compact"/>
              <w:jc w:val="left"/>
            </w:pPr>
            <w:r>
              <w:t xml:space="preserve">verdict one-hot (4×4) + raw confidence</w:t>
            </w:r>
          </w:p>
        </w:tc>
        <w:tc>
          <w:p>
            <w:pPr>
              <w:pStyle w:val="Compact"/>
              <w:jc w:val="right"/>
            </w:pPr>
            <w:r>
              <w:t xml:space="preserve">20</w:t>
            </w:r>
          </w:p>
        </w:tc>
      </w:tr>
      <w:tr>
        <w:tc>
          <w:p>
            <w:pPr>
              <w:pStyle w:val="Compact"/>
              <w:jc w:val="left"/>
            </w:pPr>
            <w:r>
              <w:t xml:space="preserve">Pairwise disagreement</w:t>
            </w:r>
          </w:p>
        </w:tc>
        <w:tc>
          <w:p>
            <w:pPr>
              <w:pStyle w:val="Compact"/>
              <w:jc w:val="left"/>
            </w:pPr>
            <m:oMath>
              <m:r>
                <m:rPr>
                  <m:sty m:val="b"/>
                </m:rPr>
                <m:t>1</m:t>
              </m:r>
              <m:r>
                <m:t>[</m:t>
              </m:r>
              <m:sSub>
                <m:e>
                  <m:r>
                    <m:t>v</m:t>
                  </m:r>
                </m:e>
                <m:sub>
                  <m:r>
                    <m:t>i</m:t>
                  </m:r>
                </m:sub>
              </m:sSub>
              <m:r>
                <m:t>≠</m:t>
              </m:r>
              <m:sSub>
                <m:e>
                  <m:r>
                    <m:t>v</m:t>
                  </m:r>
                </m:e>
                <m:sub>
                  <m:r>
                    <m:t>j</m:t>
                  </m:r>
                </m:sub>
              </m:sSub>
              <m:r>
                <m:t>]</m:t>
              </m:r>
            </m:oMath>
            <w:r>
              <w:t xml:space="preserve"> </w:t>
            </w:r>
            <w:r>
              <w:t xml:space="preserve">+</w:t>
            </w:r>
            <w:r>
              <w:t xml:space="preserve"> </w:t>
            </w:r>
            <m:oMath>
              <m:r>
                <m:t>∥</m:t>
              </m:r>
              <m:sSub>
                <m:e>
                  <m:r>
                    <m:t>c</m:t>
                  </m:r>
                </m:e>
                <m:sub>
                  <m:r>
                    <m:t>i</m:t>
                  </m:r>
                </m:sub>
              </m:sSub>
              <m:r>
                <m:t>−</m:t>
              </m:r>
              <m:sSub>
                <m:e>
                  <m:r>
                    <m:t>c</m:t>
                  </m:r>
                </m:e>
                <m:sub>
                  <m:r>
                    <m:t>j</m:t>
                  </m:r>
                </m:sub>
              </m:sSub>
              <m:r>
                <m:t>∥</m:t>
              </m:r>
            </m:oMath>
            <w:r>
              <w:t xml:space="preserve"> </w:t>
            </w:r>
            <w:r>
              <w:t xml:space="preserve">+</w:t>
            </w:r>
            <w:r>
              <w:t xml:space="preserve"> </w:t>
            </w:r>
            <m:oMath>
              <m:r>
                <m:t>(</m:t>
              </m:r>
              <m:sSub>
                <m:e>
                  <m:r>
                    <m:t>c</m:t>
                  </m:r>
                </m:e>
                <m:sub>
                  <m:r>
                    <m:t>i</m:t>
                  </m:r>
                </m:sub>
              </m:sSub>
              <m:r>
                <m:t>+</m:t>
              </m:r>
              <m:sSub>
                <m:e>
                  <m:r>
                    <m:t>c</m:t>
                  </m:r>
                </m:e>
                <m:sub>
                  <m:r>
                    <m:t>j</m:t>
                  </m:r>
                </m:sub>
              </m:sSub>
              <m:r>
                <m:t>)</m:t>
              </m:r>
              <m:r>
                <m:t>⋅</m:t>
              </m:r>
              <m:r>
                <m:rPr>
                  <m:sty m:val="b"/>
                </m:rPr>
                <m:t>1</m:t>
              </m:r>
              <m:r>
                <m:t>[</m:t>
              </m:r>
              <m:sSub>
                <m:e>
                  <m:r>
                    <m:t>v</m:t>
                  </m:r>
                </m:e>
                <m:sub>
                  <m:r>
                    <m:t>i</m:t>
                  </m:r>
                </m:sub>
              </m:sSub>
              <m:r>
                <m:t>≠</m:t>
              </m:r>
              <m:sSub>
                <m:e>
                  <m:r>
                    <m:t>v</m:t>
                  </m:r>
                </m:e>
                <m:sub>
                  <m:r>
                    <m:t>j</m:t>
                  </m:r>
                </m:sub>
              </m:sSub>
              <m:r>
                <m:t>]</m:t>
              </m:r>
            </m:oMath>
            <w:r>
              <w:t xml:space="preserve"> </w:t>
            </w:r>
            <w:r>
              <w:t xml:space="preserve">(6쌍×3)</w:t>
            </w:r>
          </w:p>
        </w:tc>
        <w:tc>
          <w:p>
            <w:pPr>
              <w:pStyle w:val="Compact"/>
              <w:jc w:val="right"/>
            </w:pPr>
            <w:r>
              <w:t xml:space="preserve">18</w:t>
            </w:r>
          </w:p>
        </w:tc>
      </w:tr>
      <w:tr>
        <w:tc>
          <w:p>
            <w:pPr>
              <w:pStyle w:val="Compact"/>
              <w:jc w:val="left"/>
            </w:pPr>
            <w:r>
              <w:t xml:space="preserve">Aggregate</w:t>
            </w:r>
          </w:p>
        </w:tc>
        <w:tc>
          <w:p>
            <w:pPr>
              <w:pStyle w:val="Compact"/>
              <w:jc w:val="left"/>
            </w:pPr>
            <w:r>
              <w:t xml:space="preserve">confidence variance, verdict entropy, max-min gap, unique verdict count, majority ratio</w:t>
            </w:r>
          </w:p>
        </w:tc>
        <w:tc>
          <w:p>
            <w:pPr>
              <w:pStyle w:val="Compact"/>
              <w:jc w:val="right"/>
            </w:pPr>
            <w:r>
              <w:t xml:space="preserve">5</w:t>
            </w:r>
          </w:p>
        </w:tc>
      </w:tr>
      <w:tr>
        <w:tc>
          <w:p>
            <w:pPr>
              <w:pStyle w:val="Compact"/>
              <w:jc w:val="left"/>
            </w:pPr>
            <w:r>
              <w:rPr>
                <w:b/>
              </w:rPr>
              <w:t xml:space="preserve">합계</w:t>
            </w:r>
          </w:p>
        </w:tc>
        <w:tc>
          <w:p/>
        </w:tc>
        <w:tc>
          <w:p>
            <w:pPr>
              <w:pStyle w:val="Compact"/>
              <w:jc w:val="right"/>
            </w:pPr>
            <w:r>
              <w:rPr>
                <w:b/>
              </w:rPr>
              <w:t xml:space="preserve">43</w:t>
            </w:r>
          </w:p>
        </w:tc>
      </w:tr>
    </w:tbl>
    <w:p>
      <w:pPr>
        <w:pStyle w:val="Heading3"/>
      </w:pPr>
      <w:bookmarkStart w:id="27" w:name="에이전트-구성"/>
      <w:r>
        <w:t xml:space="preserve">3.3 에이전트 구성</w:t>
      </w:r>
      <w:bookmarkEnd w:id="27"/>
    </w:p>
    <w:p>
      <w:pPr>
        <w:pStyle w:val="FirstParagraph"/>
      </w:pPr>
      <w:r>
        <w:t xml:space="preserve">4개 전문 에이전트(Frequency/CAT-Net, Noise/MVSS, FatFormer, Spatial/Mesorch)로 구성된 MAIFS 플랫폼에서 에이전트 출력을 수집한다. DAAC의 제안은 에이전트 자체가 아닌</w:t>
      </w:r>
      <w:r>
        <w:t xml:space="preserve"> </w:t>
      </w:r>
      <w:r>
        <w:rPr>
          <w:b/>
        </w:rPr>
        <w:t xml:space="preserve">합의 계층</w:t>
      </w:r>
      <w:r>
        <w:t xml:space="preserve">에 있다.</w:t>
      </w:r>
    </w:p>
    <w:p>
      <w:r>
        <w:pict>
          <v:rect style="width:0;height:1.5pt" o:hralign="center" o:hrstd="t" o:hr="t"/>
        </w:pict>
      </w:r>
    </w:p>
    <w:p>
      <w:pPr>
        <w:pStyle w:val="Heading2"/>
      </w:pPr>
      <w:bookmarkStart w:id="28" w:name="실험-설정"/>
      <w:r>
        <w:t xml:space="preserve">4. 실험 설정</w:t>
      </w:r>
      <w:bookmarkEnd w:id="28"/>
    </w:p>
    <w:p>
      <w:pPr>
        <w:pStyle w:val="Heading3"/>
      </w:pPr>
      <w:bookmarkStart w:id="29" w:name="데이터-및-프로토콜"/>
      <w:r>
        <w:t xml:space="preserve">4.1 데이터 및 프로토콜</w:t>
      </w:r>
      <w:bookmarkEnd w:id="29"/>
    </w:p>
    <w:p>
      <w:pPr>
        <w:pStyle w:val="FirstParagraph"/>
      </w:pPr>
      <w:r>
        <w:rPr>
          <w:b/>
        </w:rPr>
        <w:t xml:space="preserve">Protocol-P (주 실험):</w:t>
      </w:r>
      <w:r>
        <w:t xml:space="preserve"> </w:t>
      </w:r>
      <w:r>
        <w:t xml:space="preserve">CASIA2(authentic 500 + manipulated 500) + GenImage BigGAN(ai_generated 500), 총 1,500장. train/val/test = 0.6/0.2/0.2, seeds 300~309 (10회 반복). 통계 검정: paired Wilcoxon vs COBRA.</w:t>
      </w:r>
    </w:p>
    <w:p>
      <w:pPr>
        <w:pStyle w:val="BodyText"/>
      </w:pPr>
      <w:r>
        <w:rPr>
          <w:b/>
        </w:rPr>
        <w:t xml:space="preserve">Protocol-M (일반화 검증):</w:t>
      </w:r>
      <w:r>
        <w:t xml:space="preserve"> </w:t>
      </w:r>
      <w:r>
        <w:t xml:space="preserve">6개 데이터 조합(authentic/manipulated 출처 교차, OpenSDI 실세계 분포, AI-GenBench 다른 생성 방식) × 10 seeds = 60 runs.</w:t>
      </w:r>
    </w:p>
    <w:p>
      <w:pPr>
        <w:pStyle w:val="Heading3"/>
      </w:pPr>
      <w:bookmarkStart w:id="30" w:name="비교-방법"/>
      <w:r>
        <w:t xml:space="preserve">4.2 비교 방법</w:t>
      </w:r>
      <w:bookmarkEnd w:id="30"/>
    </w:p>
    <w:p>
      <w:pPr>
        <w:pStyle w:val="FirstParagraph"/>
      </w:pPr>
      <w:r>
        <w:t xml:space="preserve">Majority Vote, Weighted MV, COBRA(drwa) (주 baseline), Logistic Stacking(A4+LR), DAAC-LR/GBM/MLP.</w:t>
      </w:r>
    </w:p>
    <w:p>
      <w:r>
        <w:pict>
          <v:rect style="width:0;height:1.5pt" o:hralign="center" o:hrstd="t" o:hr="t"/>
        </w:pict>
      </w:r>
    </w:p>
    <w:p>
      <w:pPr>
        <w:pStyle w:val="Heading2"/>
      </w:pPr>
      <w:bookmarkStart w:id="31" w:name="실험-결과"/>
      <w:r>
        <w:t xml:space="preserve">5. 실험 결과</w:t>
      </w:r>
      <w:bookmarkEnd w:id="31"/>
    </w:p>
    <w:p>
      <w:pPr>
        <w:pStyle w:val="Heading3"/>
      </w:pPr>
      <w:bookmarkStart w:id="32" w:name="주요-성능-비교-protocol-p-10-seeds"/>
      <w:r>
        <w:t xml:space="preserve">5.1 주요 성능 비교 (Protocol-P, 10 seeds)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방법</w:t>
            </w:r>
          </w:p>
        </w:tc>
        <w:tc>
          <w:tcPr>
            <w:tcBorders>
              <w:bottom w:val="single"/>
            </w:tcBorders>
            <w:vAlign w:val="bottom"/>
          </w:tcPr>
          <w:p>
            <w:pPr>
              <w:pStyle w:val="Compact"/>
              <w:jc w:val="right"/>
            </w:pPr>
            <w:r>
              <w:t xml:space="preserve">Macro-F1 (mean±std)</w:t>
            </w:r>
          </w:p>
        </w:tc>
        <w:tc>
          <w:tcPr>
            <w:tcBorders>
              <w:bottom w:val="single"/>
            </w:tcBorders>
            <w:vAlign w:val="bottom"/>
          </w:tcPr>
          <w:p>
            <w:pPr>
              <w:pStyle w:val="Compact"/>
              <w:jc w:val="right"/>
            </w:pPr>
            <w:r>
              <w:t xml:space="preserve">p vs COBRA</w:t>
            </w:r>
          </w:p>
        </w:tc>
      </w:tr>
      <w:tr>
        <w:tc>
          <w:p>
            <w:pPr>
              <w:pStyle w:val="Compact"/>
              <w:jc w:val="left"/>
            </w:pPr>
            <w:r>
              <w:t xml:space="preserve">Majority Vote</w:t>
            </w:r>
          </w:p>
        </w:tc>
        <w:tc>
          <w:p>
            <w:pPr>
              <w:pStyle w:val="Compact"/>
              <w:jc w:val="right"/>
            </w:pPr>
            <w:r>
              <w:t xml:space="preserve">0.2774±0.0178</w:t>
            </w:r>
          </w:p>
        </w:tc>
        <w:tc>
          <w:p>
            <w:pPr>
              <w:pStyle w:val="Compact"/>
              <w:jc w:val="right"/>
            </w:pPr>
            <w:r>
              <w:t xml:space="preserve">0.0371</w:t>
            </w:r>
          </w:p>
        </w:tc>
      </w:tr>
      <w:tr>
        <w:tc>
          <w:p>
            <w:pPr>
              <w:pStyle w:val="Compact"/>
              <w:jc w:val="left"/>
            </w:pPr>
            <w:r>
              <w:t xml:space="preserve">Weighted MV</w:t>
            </w:r>
          </w:p>
        </w:tc>
        <w:tc>
          <w:p>
            <w:pPr>
              <w:pStyle w:val="Compact"/>
              <w:jc w:val="right"/>
            </w:pPr>
            <w:r>
              <w:t xml:space="preserve">0.2664±0.0128</w:t>
            </w:r>
          </w:p>
        </w:tc>
        <w:tc>
          <w:p>
            <w:pPr>
              <w:pStyle w:val="Compact"/>
              <w:jc w:val="right"/>
            </w:pPr>
            <w:r>
              <w:t xml:space="preserve">1.0000</w:t>
            </w:r>
          </w:p>
        </w:tc>
      </w:tr>
      <w:tr>
        <w:tc>
          <w:p>
            <w:pPr>
              <w:pStyle w:val="Compact"/>
              <w:jc w:val="left"/>
            </w:pPr>
            <w:r>
              <w:rPr>
                <w:b/>
              </w:rPr>
              <w:t xml:space="preserve">COBRA (drwa)</w:t>
            </w:r>
          </w:p>
        </w:tc>
        <w:tc>
          <w:p>
            <w:pPr>
              <w:pStyle w:val="Compact"/>
              <w:jc w:val="right"/>
            </w:pPr>
            <w:r>
              <w:rPr>
                <w:b/>
              </w:rPr>
              <w:t xml:space="preserve">0.2664±0.0090</w:t>
            </w:r>
          </w:p>
        </w:tc>
        <w:tc>
          <w:p>
            <w:pPr>
              <w:pStyle w:val="Compact"/>
              <w:jc w:val="right"/>
            </w:pPr>
            <w:r>
              <w:t xml:space="preserve">— (기준)</w:t>
            </w:r>
          </w:p>
        </w:tc>
      </w:tr>
      <w:tr>
        <w:tc>
          <w:p>
            <w:pPr>
              <w:pStyle w:val="Compact"/>
              <w:jc w:val="left"/>
            </w:pPr>
            <w:r>
              <w:t xml:space="preserve">Logistic Stacking (A4+LR)</w:t>
            </w:r>
          </w:p>
        </w:tc>
        <w:tc>
          <w:p>
            <w:pPr>
              <w:pStyle w:val="Compact"/>
              <w:jc w:val="right"/>
            </w:pPr>
            <w:r>
              <w:t xml:space="preserve">0.8500±0.0161</w:t>
            </w:r>
          </w:p>
        </w:tc>
        <w:tc>
          <w:p>
            <w:pPr>
              <w:pStyle w:val="Compact"/>
              <w:jc w:val="right"/>
            </w:pPr>
            <w:r>
              <w:t xml:space="preserve">0.00195**</w:t>
            </w:r>
          </w:p>
        </w:tc>
      </w:tr>
      <w:tr>
        <w:tc>
          <w:p>
            <w:pPr>
              <w:pStyle w:val="Compact"/>
              <w:jc w:val="left"/>
            </w:pPr>
            <w:r>
              <w:t xml:space="preserve">DAAC-LR (A5+LR)</w:t>
            </w:r>
          </w:p>
        </w:tc>
        <w:tc>
          <w:p>
            <w:pPr>
              <w:pStyle w:val="Compact"/>
              <w:jc w:val="right"/>
            </w:pPr>
            <w:r>
              <w:t xml:space="preserve">0.8541±0.0087</w:t>
            </w:r>
          </w:p>
        </w:tc>
        <w:tc>
          <w:p>
            <w:pPr>
              <w:pStyle w:val="Compact"/>
              <w:jc w:val="right"/>
            </w:pPr>
            <w:r>
              <w:t xml:space="preserve">0.00195**</w:t>
            </w:r>
          </w:p>
        </w:tc>
      </w:tr>
      <w:tr>
        <w:tc>
          <w:p>
            <w:pPr>
              <w:pStyle w:val="Compact"/>
              <w:jc w:val="left"/>
            </w:pPr>
            <w:r>
              <w:rPr>
                <w:b/>
              </w:rPr>
              <w:t xml:space="preserve">DAAC-GBM (A5+GBM)</w:t>
            </w:r>
          </w:p>
        </w:tc>
        <w:tc>
          <w:p>
            <w:pPr>
              <w:pStyle w:val="Compact"/>
              <w:jc w:val="right"/>
            </w:pPr>
            <w:r>
              <w:rPr>
                <w:b/>
              </w:rPr>
              <w:t xml:space="preserve">0.8613±0.0156</w:t>
            </w:r>
          </w:p>
        </w:tc>
        <w:tc>
          <w:p>
            <w:pPr>
              <w:pStyle w:val="Compact"/>
              <w:jc w:val="right"/>
            </w:pPr>
            <w:r>
              <w:rPr>
                <w:b/>
              </w:rPr>
              <w:t xml:space="preserve">0.00195</w:t>
            </w:r>
            <w:r>
              <w:t xml:space="preserve">**</w:t>
            </w:r>
          </w:p>
        </w:tc>
      </w:tr>
      <w:tr>
        <w:tc>
          <w:p>
            <w:pPr>
              <w:pStyle w:val="Compact"/>
              <w:jc w:val="left"/>
            </w:pPr>
            <w:r>
              <w:t xml:space="preserve">DAAC-MLP (A5+MLP)</w:t>
            </w:r>
          </w:p>
        </w:tc>
        <w:tc>
          <w:p>
            <w:pPr>
              <w:pStyle w:val="Compact"/>
              <w:jc w:val="right"/>
            </w:pPr>
            <w:r>
              <w:t xml:space="preserve">0.8570±0.0122</w:t>
            </w:r>
          </w:p>
        </w:tc>
        <w:tc>
          <w:p>
            <w:pPr>
              <w:pStyle w:val="Compact"/>
              <w:jc w:val="right"/>
            </w:pPr>
            <w:r>
              <w:t xml:space="preserve">0.00195**</w:t>
            </w:r>
          </w:p>
        </w:tc>
      </w:tr>
    </w:tbl>
    <w:p>
      <w:pPr>
        <w:pStyle w:val="BodyText"/>
      </w:pPr>
      <w:r>
        <w:t xml:space="preserve">** p&lt;0.01, paired Wilcoxon. DAAC 계열은 모든 10 seed에서 COBRA를 능가한다.</w:t>
      </w:r>
    </w:p>
    <w:p>
      <w:pPr>
        <w:pStyle w:val="Heading3"/>
      </w:pPr>
      <w:bookmarkStart w:id="33" w:name="클래스별-성능-및-에이전트-맹점"/>
      <w:r>
        <w:t xml:space="preserve">5.2 클래스별 성능 및 에이전트 맹점</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방법</w:t>
            </w:r>
          </w:p>
        </w:tc>
        <w:tc>
          <w:tcPr>
            <w:tcBorders>
              <w:bottom w:val="single"/>
            </w:tcBorders>
            <w:vAlign w:val="bottom"/>
          </w:tcPr>
          <w:p>
            <w:pPr>
              <w:pStyle w:val="Compact"/>
              <w:jc w:val="right"/>
            </w:pPr>
            <w:r>
              <w:t xml:space="preserve">Authentic F1</w:t>
            </w:r>
          </w:p>
        </w:tc>
        <w:tc>
          <w:tcPr>
            <w:tcBorders>
              <w:bottom w:val="single"/>
            </w:tcBorders>
            <w:vAlign w:val="bottom"/>
          </w:tcPr>
          <w:p>
            <w:pPr>
              <w:pStyle w:val="Compact"/>
              <w:jc w:val="right"/>
            </w:pPr>
            <w:r>
              <w:t xml:space="preserve">Manipulated F1</w:t>
            </w:r>
          </w:p>
        </w:tc>
        <w:tc>
          <w:tcPr>
            <w:tcBorders>
              <w:bottom w:val="single"/>
            </w:tcBorders>
            <w:vAlign w:val="bottom"/>
          </w:tcPr>
          <w:p>
            <w:pPr>
              <w:pStyle w:val="Compact"/>
              <w:jc w:val="right"/>
            </w:pPr>
            <w:r>
              <w:t xml:space="preserve">AI-generated F1</w:t>
            </w:r>
          </w:p>
        </w:tc>
      </w:tr>
      <w:tr>
        <w:tc>
          <w:p>
            <w:pPr>
              <w:pStyle w:val="Compact"/>
              <w:jc w:val="left"/>
            </w:pPr>
            <w:r>
              <w:t xml:space="preserve">Frequency (단독)</w:t>
            </w:r>
          </w:p>
        </w:tc>
        <w:tc>
          <w:p>
            <w:pPr>
              <w:pStyle w:val="Compact"/>
              <w:jc w:val="right"/>
            </w:pPr>
            <w:r>
              <w:t xml:space="preserve">0.804</w:t>
            </w:r>
          </w:p>
        </w:tc>
        <w:tc>
          <w:p>
            <w:pPr>
              <w:pStyle w:val="Compact"/>
              <w:jc w:val="right"/>
            </w:pPr>
            <w:r>
              <w:t xml:space="preserve">0.481</w:t>
            </w:r>
          </w:p>
        </w:tc>
        <w:tc>
          <w:p>
            <w:pPr>
              <w:pStyle w:val="Compact"/>
              <w:jc w:val="right"/>
            </w:pPr>
            <w:r>
              <w:rPr>
                <w:b/>
              </w:rPr>
              <w:t xml:space="preserve">0.000</w:t>
            </w:r>
          </w:p>
        </w:tc>
      </w:tr>
      <w:tr>
        <w:tc>
          <w:p>
            <w:pPr>
              <w:pStyle w:val="Compact"/>
              <w:jc w:val="left"/>
            </w:pPr>
            <w:r>
              <w:t xml:space="preserve">Noise (단독)</w:t>
            </w:r>
          </w:p>
        </w:tc>
        <w:tc>
          <w:p>
            <w:pPr>
              <w:pStyle w:val="Compact"/>
              <w:jc w:val="right"/>
            </w:pPr>
            <w:r>
              <w:t xml:space="preserve">0.558</w:t>
            </w:r>
          </w:p>
        </w:tc>
        <w:tc>
          <w:p>
            <w:pPr>
              <w:pStyle w:val="Compact"/>
              <w:jc w:val="right"/>
            </w:pPr>
            <w:r>
              <w:t xml:space="preserve">0.476</w:t>
            </w:r>
          </w:p>
        </w:tc>
        <w:tc>
          <w:p>
            <w:pPr>
              <w:pStyle w:val="Compact"/>
              <w:jc w:val="right"/>
            </w:pPr>
            <w:r>
              <w:rPr>
                <w:b/>
              </w:rPr>
              <w:t xml:space="preserve">0.000</w:t>
            </w:r>
          </w:p>
        </w:tc>
      </w:tr>
      <w:tr>
        <w:tc>
          <w:p>
            <w:pPr>
              <w:pStyle w:val="Compact"/>
              <w:jc w:val="left"/>
            </w:pPr>
            <w:r>
              <w:t xml:space="preserve">FatFormer (단독)</w:t>
            </w:r>
          </w:p>
        </w:tc>
        <w:tc>
          <w:p>
            <w:pPr>
              <w:pStyle w:val="Compact"/>
              <w:jc w:val="right"/>
            </w:pPr>
            <w:r>
              <w:t xml:space="preserve">0.542</w:t>
            </w:r>
          </w:p>
        </w:tc>
        <w:tc>
          <w:p>
            <w:pPr>
              <w:pStyle w:val="Compact"/>
              <w:jc w:val="right"/>
            </w:pPr>
            <w:r>
              <w:rPr>
                <w:b/>
              </w:rPr>
              <w:t xml:space="preserve">0.000</w:t>
            </w:r>
          </w:p>
        </w:tc>
        <w:tc>
          <w:p>
            <w:pPr>
              <w:pStyle w:val="Compact"/>
              <w:jc w:val="right"/>
            </w:pPr>
            <w:r>
              <w:t xml:space="preserve">0.473</w:t>
            </w:r>
          </w:p>
        </w:tc>
      </w:tr>
      <w:tr>
        <w:tc>
          <w:p>
            <w:pPr>
              <w:pStyle w:val="Compact"/>
              <w:jc w:val="left"/>
            </w:pPr>
            <w:r>
              <w:t xml:space="preserve">Spatial (단독)</w:t>
            </w:r>
          </w:p>
        </w:tc>
        <w:tc>
          <w:p>
            <w:pPr>
              <w:pStyle w:val="Compact"/>
              <w:jc w:val="right"/>
            </w:pPr>
            <w:r>
              <w:t xml:space="preserve">0.570</w:t>
            </w:r>
          </w:p>
        </w:tc>
        <w:tc>
          <w:p>
            <w:pPr>
              <w:pStyle w:val="Compact"/>
              <w:jc w:val="right"/>
            </w:pPr>
            <w:r>
              <w:t xml:space="preserve">0.355</w:t>
            </w:r>
          </w:p>
        </w:tc>
        <w:tc>
          <w:p>
            <w:pPr>
              <w:pStyle w:val="Compact"/>
              <w:jc w:val="right"/>
            </w:pPr>
            <w:r>
              <w:rPr>
                <w:b/>
              </w:rPr>
              <w:t xml:space="preserve">0.000</w:t>
            </w:r>
          </w:p>
        </w:tc>
      </w:tr>
      <w:tr>
        <w:tc>
          <w:p>
            <w:pPr>
              <w:pStyle w:val="Compact"/>
              <w:jc w:val="left"/>
            </w:pPr>
            <w:r>
              <w:t xml:space="preserve">COBRA (drwa)</w:t>
            </w:r>
          </w:p>
        </w:tc>
        <w:tc>
          <w:p>
            <w:pPr>
              <w:pStyle w:val="Compact"/>
              <w:jc w:val="right"/>
            </w:pPr>
            <w:r>
              <w:t xml:space="preserve">0.573</w:t>
            </w:r>
          </w:p>
        </w:tc>
        <w:tc>
          <w:p>
            <w:pPr>
              <w:pStyle w:val="Compact"/>
              <w:jc w:val="right"/>
            </w:pPr>
            <w:r>
              <w:t xml:space="preserve">0.199</w:t>
            </w:r>
          </w:p>
        </w:tc>
        <w:tc>
          <w:p>
            <w:pPr>
              <w:pStyle w:val="Compact"/>
              <w:jc w:val="right"/>
            </w:pPr>
            <w:r>
              <w:t xml:space="preserve">0.027</w:t>
            </w:r>
          </w:p>
        </w:tc>
      </w:tr>
      <w:tr>
        <w:tc>
          <w:p>
            <w:pPr>
              <w:pStyle w:val="Compact"/>
              <w:jc w:val="left"/>
            </w:pPr>
            <w:r>
              <w:rPr>
                <w:b/>
              </w:rPr>
              <w:t xml:space="preserve">DAAC-GBM</w:t>
            </w:r>
          </w:p>
        </w:tc>
        <w:tc>
          <w:p>
            <w:pPr>
              <w:pStyle w:val="Compact"/>
              <w:jc w:val="right"/>
            </w:pPr>
            <w:r>
              <w:rPr>
                <w:b/>
              </w:rPr>
              <w:t xml:space="preserve">0.821</w:t>
            </w:r>
          </w:p>
        </w:tc>
        <w:tc>
          <w:p>
            <w:pPr>
              <w:pStyle w:val="Compact"/>
              <w:jc w:val="right"/>
            </w:pPr>
            <w:r>
              <w:rPr>
                <w:b/>
              </w:rPr>
              <w:t xml:space="preserve">0.800</w:t>
            </w:r>
          </w:p>
        </w:tc>
        <w:tc>
          <w:p>
            <w:pPr>
              <w:pStyle w:val="Compact"/>
              <w:jc w:val="right"/>
            </w:pPr>
            <w:r>
              <w:rPr>
                <w:b/>
              </w:rPr>
              <w:t xml:space="preserve">0.963</w:t>
            </w:r>
          </w:p>
        </w:tc>
      </w:tr>
    </w:tbl>
    <w:p>
      <w:pPr>
        <w:pStyle w:val="BodyText"/>
      </w:pPr>
      <w:r>
        <w:t xml:space="preserve">Frequency/Noise/Spatial은 ai_generated F1=0.000, FatFormer는 manipulated F1=0.000의 구조적 맹점을 가진다. COBRA는 이 맹점을 가중 합산으로 전파하는 반면, DAAC-GBM은 에이전트 간 충돌 패턴을 학습하여 세 클래스 모두 균형 잡힌 성능을 달성한다. Cohen’s Kappa: COBRA κ=0.068 (우연 수준) vs DAAC-GBM κ=0.796 (강한 일치).</w:t>
      </w:r>
    </w:p>
    <w:p>
      <w:pPr>
        <w:pStyle w:val="Heading3"/>
      </w:pPr>
      <w:bookmarkStart w:id="34" w:name="특징-ablation-gbm-10-seeds"/>
      <w:r>
        <w:t xml:space="preserve">5.3 특징 Ablation (GBM, 10 seeds)</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구성</w:t>
            </w:r>
          </w:p>
        </w:tc>
        <w:tc>
          <w:tcPr>
            <w:tcBorders>
              <w:bottom w:val="single"/>
            </w:tcBorders>
            <w:vAlign w:val="bottom"/>
          </w:tcPr>
          <w:p>
            <w:pPr>
              <w:pStyle w:val="Compact"/>
              <w:jc w:val="right"/>
            </w:pPr>
            <w:r>
              <w:t xml:space="preserve">차원</w:t>
            </w:r>
          </w:p>
        </w:tc>
        <w:tc>
          <w:tcPr>
            <w:tcBorders>
              <w:bottom w:val="single"/>
            </w:tcBorders>
            <w:vAlign w:val="bottom"/>
          </w:tcPr>
          <w:p>
            <w:pPr>
              <w:pStyle w:val="Compact"/>
              <w:jc w:val="right"/>
            </w:pPr>
            <w:r>
              <w:t xml:space="preserve">Macro-F1</w:t>
            </w:r>
          </w:p>
        </w:tc>
      </w:tr>
      <w:tr>
        <w:tc>
          <w:p>
            <w:pPr>
              <w:pStyle w:val="Compact"/>
              <w:jc w:val="left"/>
            </w:pPr>
            <w:r>
              <w:t xml:space="preserve">A1: confidence only</w:t>
            </w:r>
          </w:p>
        </w:tc>
        <w:tc>
          <w:p>
            <w:pPr>
              <w:pStyle w:val="Compact"/>
              <w:jc w:val="right"/>
            </w:pPr>
            <w:r>
              <w:t xml:space="preserve">4</w:t>
            </w:r>
          </w:p>
        </w:tc>
        <w:tc>
          <w:p>
            <w:pPr>
              <w:pStyle w:val="Compact"/>
              <w:jc w:val="right"/>
            </w:pPr>
            <w:r>
              <w:t xml:space="preserve">0.7972±0.0149</w:t>
            </w:r>
          </w:p>
        </w:tc>
      </w:tr>
      <w:tr>
        <w:tc>
          <w:p>
            <w:pPr>
              <w:pStyle w:val="Compact"/>
              <w:jc w:val="left"/>
            </w:pPr>
            <w:r>
              <w:t xml:space="preserve">A2: verdict only</w:t>
            </w:r>
          </w:p>
        </w:tc>
        <w:tc>
          <w:p>
            <w:pPr>
              <w:pStyle w:val="Compact"/>
              <w:jc w:val="right"/>
            </w:pPr>
            <w:r>
              <w:t xml:space="preserve">16</w:t>
            </w:r>
          </w:p>
        </w:tc>
        <w:tc>
          <w:p>
            <w:pPr>
              <w:pStyle w:val="Compact"/>
              <w:jc w:val="right"/>
            </w:pPr>
            <w:r>
              <w:t xml:space="preserve">0.7596±0.0213</w:t>
            </w:r>
          </w:p>
        </w:tc>
      </w:tr>
      <w:tr>
        <w:tc>
          <w:p>
            <w:pPr>
              <w:pStyle w:val="Compact"/>
              <w:jc w:val="left"/>
            </w:pPr>
            <w:r>
              <w:t xml:space="preserve">A3: disagreement only</w:t>
            </w:r>
          </w:p>
        </w:tc>
        <w:tc>
          <w:p>
            <w:pPr>
              <w:pStyle w:val="Compact"/>
              <w:jc w:val="right"/>
            </w:pPr>
            <w:r>
              <w:t xml:space="preserve">23</w:t>
            </w:r>
          </w:p>
        </w:tc>
        <w:tc>
          <w:p>
            <w:pPr>
              <w:pStyle w:val="Compact"/>
              <w:jc w:val="right"/>
            </w:pPr>
            <w:r>
              <w:t xml:space="preserve">0.8534±0.0102</w:t>
            </w:r>
          </w:p>
        </w:tc>
      </w:tr>
      <w:tr>
        <w:tc>
          <w:p>
            <w:pPr>
              <w:pStyle w:val="Compact"/>
              <w:jc w:val="left"/>
            </w:pPr>
            <w:r>
              <w:t xml:space="preserve">A4: verdict+confidence</w:t>
            </w:r>
          </w:p>
        </w:tc>
        <w:tc>
          <w:p>
            <w:pPr>
              <w:pStyle w:val="Compact"/>
              <w:jc w:val="right"/>
            </w:pPr>
            <w:r>
              <w:t xml:space="preserve">20</w:t>
            </w:r>
          </w:p>
        </w:tc>
        <w:tc>
          <w:p>
            <w:pPr>
              <w:pStyle w:val="Compact"/>
              <w:jc w:val="right"/>
            </w:pPr>
            <w:r>
              <w:t xml:space="preserve">0.8506±0.0202</w:t>
            </w:r>
          </w:p>
        </w:tc>
      </w:tr>
      <w:tr>
        <w:tc>
          <w:p>
            <w:pPr>
              <w:pStyle w:val="Compact"/>
              <w:jc w:val="left"/>
            </w:pPr>
            <w:r>
              <w:rPr>
                <w:b/>
              </w:rPr>
              <w:t xml:space="preserve">A5: full DAAC (제안)</w:t>
            </w:r>
          </w:p>
        </w:tc>
        <w:tc>
          <w:p>
            <w:pPr>
              <w:pStyle w:val="Compact"/>
              <w:jc w:val="right"/>
            </w:pPr>
            <w:r>
              <w:rPr>
                <w:b/>
              </w:rPr>
              <w:t xml:space="preserve">43</w:t>
            </w:r>
          </w:p>
        </w:tc>
        <w:tc>
          <w:p>
            <w:pPr>
              <w:pStyle w:val="Compact"/>
              <w:jc w:val="right"/>
            </w:pPr>
            <w:r>
              <w:rPr>
                <w:b/>
              </w:rPr>
              <w:t xml:space="preserve">0.8613±0.0156</w:t>
            </w:r>
          </w:p>
        </w:tc>
      </w:tr>
    </w:tbl>
    <w:p>
      <w:pPr>
        <w:pStyle w:val="BodyText"/>
      </w:pPr>
      <w:r>
        <w:t xml:space="preserve">A3(불일치만, 23-dim) &gt; A4(verdict+confidence, 20-dim)는 개별 판정·confidence보다</w:t>
      </w:r>
      <w:r>
        <w:t xml:space="preserve"> </w:t>
      </w:r>
      <w:r>
        <w:rPr>
          <w:b/>
        </w:rPr>
        <w:t xml:space="preserve">불일치 패턴 자체</w:t>
      </w:r>
      <w:r>
        <w:t xml:space="preserve">가 더 강한 클래스 구분 신호임을 의미한다. 최상위 특징 중요도는</w:t>
      </w:r>
      <w:r>
        <w:t xml:space="preserve"> </w:t>
      </w:r>
      <w:r>
        <w:rPr>
          <w:rStyle w:val="VerbatimChar"/>
        </w:rPr>
        <w:t xml:space="preserve">disagree_frequency_fatformer</w:t>
      </w:r>
      <w:r>
        <w:t xml:space="preserve"> </w:t>
      </w:r>
      <w:r>
        <w:t xml:space="preserve">(56.5%)로, FatFormer와 나머지 에이전트의 판정 충돌이 핵심 신호다.</w:t>
      </w:r>
    </w:p>
    <w:p>
      <w:pPr>
        <w:pStyle w:val="Heading3"/>
      </w:pPr>
      <w:bookmarkStart w:id="35" w:name="다중-데이터-일반화-protocol-m-60-runs"/>
      <w:r>
        <w:t xml:space="preserve">5.4 다중 데이터 일반화 (Protocol-M, 60 runs)</w:t>
      </w:r>
      <w:bookmarkEnd w:id="35"/>
    </w:p>
    <w:p>
      <w:pPr>
        <w:pStyle w:val="FirstParagraph"/>
      </w:pPr>
      <w:r>
        <w:t xml:space="preserve">6개 조합 전체에서 DAAC가 COBRA를 능가했다(sign 60/0, Wilcoxon p=1.63e-11, mean delta +0.493). 단 한 번도 역전되지 않아 특정 데이터 조합에 의한 우연 효과가 아님을 확인한다.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조합</w:t>
            </w:r>
          </w:p>
        </w:tc>
        <w:tc>
          <w:tcPr>
            <w:tcBorders>
              <w:bottom w:val="single"/>
            </w:tcBorders>
            <w:vAlign w:val="bottom"/>
          </w:tcPr>
          <w:p>
            <w:pPr>
              <w:pStyle w:val="Compact"/>
              <w:jc w:val="left"/>
            </w:pPr>
            <w:r>
              <w:t xml:space="preserve">Validation Aspect</w:t>
            </w:r>
          </w:p>
        </w:tc>
        <w:tc>
          <w:tcPr>
            <w:tcBorders>
              <w:bottom w:val="single"/>
            </w:tcBorders>
            <w:vAlign w:val="bottom"/>
          </w:tcPr>
          <w:p>
            <w:pPr>
              <w:pStyle w:val="Compact"/>
              <w:jc w:val="right"/>
            </w:pPr>
            <w:r>
              <w:t xml:space="preserve">COBRA F1</w:t>
            </w:r>
          </w:p>
        </w:tc>
        <w:tc>
          <w:tcPr>
            <w:tcBorders>
              <w:bottom w:val="single"/>
            </w:tcBorders>
            <w:vAlign w:val="bottom"/>
          </w:tcPr>
          <w:p>
            <w:pPr>
              <w:pStyle w:val="Compact"/>
              <w:jc w:val="right"/>
            </w:pPr>
            <w:r>
              <w:t xml:space="preserve">DAAC F1</w:t>
            </w:r>
          </w:p>
        </w:tc>
        <w:tc>
          <w:tcPr>
            <w:tcBorders>
              <w:bottom w:val="single"/>
            </w:tcBorders>
            <w:vAlign w:val="bottom"/>
          </w:tcPr>
          <w:p>
            <w:pPr>
              <w:pStyle w:val="Compact"/>
              <w:jc w:val="right"/>
            </w:pPr>
            <w:r>
              <w:t xml:space="preserve">Delta</w:t>
            </w:r>
          </w:p>
        </w:tc>
      </w:tr>
      <w:tr>
        <w:tc>
          <w:p>
            <w:pPr>
              <w:pStyle w:val="Compact"/>
              <w:jc w:val="left"/>
            </w:pPr>
            <w:r>
              <w:t xml:space="preserve">DS-A (CASIA+BigGAN)</w:t>
            </w:r>
          </w:p>
        </w:tc>
        <w:tc>
          <w:p>
            <w:pPr>
              <w:pStyle w:val="Compact"/>
              <w:jc w:val="left"/>
            </w:pPr>
            <w:r>
              <w:t xml:space="preserve">Baseline combination</w:t>
            </w:r>
          </w:p>
        </w:tc>
        <w:tc>
          <w:p>
            <w:pPr>
              <w:pStyle w:val="Compact"/>
              <w:jc w:val="right"/>
            </w:pPr>
            <w:r>
              <w:t xml:space="preserve">0.277</w:t>
            </w:r>
          </w:p>
        </w:tc>
        <w:tc>
          <w:p>
            <w:pPr>
              <w:pStyle w:val="Compact"/>
              <w:jc w:val="right"/>
            </w:pPr>
            <w:r>
              <w:t xml:space="preserve">0.835</w:t>
            </w:r>
          </w:p>
        </w:tc>
        <w:tc>
          <w:p>
            <w:pPr>
              <w:pStyle w:val="Compact"/>
              <w:jc w:val="right"/>
            </w:pPr>
            <w:r>
              <w:t xml:space="preserve">+0.558</w:t>
            </w:r>
          </w:p>
        </w:tc>
      </w:tr>
      <w:tr>
        <w:tc>
          <w:p>
            <w:pPr>
              <w:pStyle w:val="Compact"/>
              <w:jc w:val="left"/>
            </w:pPr>
            <w:r>
              <w:t xml:space="preserve">DS-B (ImageNet+CASIA+BigGAN)</w:t>
            </w:r>
          </w:p>
        </w:tc>
        <w:tc>
          <w:p>
            <w:pPr>
              <w:pStyle w:val="Compact"/>
              <w:jc w:val="left"/>
            </w:pPr>
            <w:r>
              <w:t xml:space="preserve">Authentic source shift</w:t>
            </w:r>
          </w:p>
        </w:tc>
        <w:tc>
          <w:p>
            <w:pPr>
              <w:pStyle w:val="Compact"/>
              <w:jc w:val="right"/>
            </w:pPr>
            <w:r>
              <w:t xml:space="preserve">0.274</w:t>
            </w:r>
          </w:p>
        </w:tc>
        <w:tc>
          <w:p>
            <w:pPr>
              <w:pStyle w:val="Compact"/>
              <w:jc w:val="right"/>
            </w:pPr>
            <w:r>
              <w:t xml:space="preserve">0.867</w:t>
            </w:r>
          </w:p>
        </w:tc>
        <w:tc>
          <w:p>
            <w:pPr>
              <w:pStyle w:val="Compact"/>
              <w:jc w:val="right"/>
            </w:pPr>
            <w:r>
              <w:t xml:space="preserve">+0.593</w:t>
            </w:r>
          </w:p>
        </w:tc>
      </w:tr>
      <w:tr>
        <w:tc>
          <w:p>
            <w:pPr>
              <w:pStyle w:val="Compact"/>
              <w:jc w:val="left"/>
            </w:pPr>
            <w:r>
              <w:t xml:space="preserve">DS-C (CASIA+IMD2020+BigGAN)</w:t>
            </w:r>
          </w:p>
        </w:tc>
        <w:tc>
          <w:p>
            <w:pPr>
              <w:pStyle w:val="Compact"/>
              <w:jc w:val="left"/>
            </w:pPr>
            <w:r>
              <w:t xml:space="preserve">Manipulation type shift</w:t>
            </w:r>
          </w:p>
        </w:tc>
        <w:tc>
          <w:p>
            <w:pPr>
              <w:pStyle w:val="Compact"/>
              <w:jc w:val="right"/>
            </w:pPr>
            <w:r>
              <w:t xml:space="preserve">0.303</w:t>
            </w:r>
          </w:p>
        </w:tc>
        <w:tc>
          <w:p>
            <w:pPr>
              <w:pStyle w:val="Compact"/>
              <w:jc w:val="right"/>
            </w:pPr>
            <w:r>
              <w:t xml:space="preserve">0.898</w:t>
            </w:r>
          </w:p>
        </w:tc>
        <w:tc>
          <w:p>
            <w:pPr>
              <w:pStyle w:val="Compact"/>
              <w:jc w:val="right"/>
            </w:pPr>
            <w:r>
              <w:t xml:space="preserve">+0.595</w:t>
            </w:r>
          </w:p>
        </w:tc>
      </w:tr>
      <w:tr>
        <w:tc>
          <w:p>
            <w:pPr>
              <w:pStyle w:val="Compact"/>
              <w:jc w:val="left"/>
            </w:pPr>
            <w:r>
              <w:t xml:space="preserve">DS-D (ImageNet+IMD2020+BigGAN)</w:t>
            </w:r>
          </w:p>
        </w:tc>
        <w:tc>
          <w:p>
            <w:pPr>
              <w:pStyle w:val="Compact"/>
              <w:jc w:val="left"/>
            </w:pPr>
            <w:r>
              <w:t xml:space="preserve">Both sources unseen</w:t>
            </w:r>
          </w:p>
        </w:tc>
        <w:tc>
          <w:p>
            <w:pPr>
              <w:pStyle w:val="Compact"/>
              <w:jc w:val="right"/>
            </w:pPr>
            <w:r>
              <w:t xml:space="preserve">0.300</w:t>
            </w:r>
          </w:p>
        </w:tc>
        <w:tc>
          <w:p>
            <w:pPr>
              <w:pStyle w:val="Compact"/>
              <w:jc w:val="right"/>
            </w:pPr>
            <w:r>
              <w:t xml:space="preserve">0.863</w:t>
            </w:r>
          </w:p>
        </w:tc>
        <w:tc>
          <w:p>
            <w:pPr>
              <w:pStyle w:val="Compact"/>
              <w:jc w:val="right"/>
            </w:pPr>
            <w:r>
              <w:t xml:space="preserve">+0.564</w:t>
            </w:r>
          </w:p>
        </w:tc>
      </w:tr>
      <w:tr>
        <w:tc>
          <w:p>
            <w:pPr>
              <w:pStyle w:val="Compact"/>
              <w:jc w:val="left"/>
            </w:pPr>
            <w:r>
              <w:t xml:space="preserve">OpenSDI</w:t>
            </w:r>
          </w:p>
        </w:tc>
        <w:tc>
          <w:p>
            <w:pPr>
              <w:pStyle w:val="Compact"/>
              <w:jc w:val="left"/>
            </w:pPr>
            <w:r>
              <w:t xml:space="preserve">Real-world distribution</w:t>
            </w:r>
          </w:p>
        </w:tc>
        <w:tc>
          <w:p>
            <w:pPr>
              <w:pStyle w:val="Compact"/>
              <w:jc w:val="right"/>
            </w:pPr>
            <w:r>
              <w:t xml:space="preserve">0.177</w:t>
            </w:r>
          </w:p>
        </w:tc>
        <w:tc>
          <w:p>
            <w:pPr>
              <w:pStyle w:val="Compact"/>
              <w:jc w:val="right"/>
            </w:pPr>
            <w:r>
              <w:t xml:space="preserve">0.409</w:t>
            </w:r>
          </w:p>
        </w:tc>
        <w:tc>
          <w:p>
            <w:pPr>
              <w:pStyle w:val="Compact"/>
              <w:jc w:val="right"/>
            </w:pPr>
            <w:r>
              <w:t xml:space="preserve">+0.232</w:t>
            </w:r>
          </w:p>
        </w:tc>
      </w:tr>
      <w:tr>
        <w:tc>
          <w:p>
            <w:pPr>
              <w:pStyle w:val="Compact"/>
              <w:jc w:val="left"/>
            </w:pPr>
            <w:r>
              <w:t xml:space="preserve">AI-GenBench proxy</w:t>
            </w:r>
          </w:p>
        </w:tc>
        <w:tc>
          <w:p>
            <w:pPr>
              <w:pStyle w:val="Compact"/>
              <w:jc w:val="left"/>
            </w:pPr>
            <w:r>
              <w:t xml:space="preserve">Non-BigGAN generators</w:t>
            </w:r>
          </w:p>
        </w:tc>
        <w:tc>
          <w:p>
            <w:pPr>
              <w:pStyle w:val="Compact"/>
              <w:jc w:val="right"/>
            </w:pPr>
            <w:r>
              <w:t xml:space="preserve">0.333</w:t>
            </w:r>
          </w:p>
        </w:tc>
        <w:tc>
          <w:p>
            <w:pPr>
              <w:pStyle w:val="Compact"/>
              <w:jc w:val="right"/>
            </w:pPr>
            <w:r>
              <w:t xml:space="preserve">0.750</w:t>
            </w:r>
          </w:p>
        </w:tc>
        <w:tc>
          <w:p>
            <w:pPr>
              <w:pStyle w:val="Compact"/>
              <w:jc w:val="right"/>
            </w:pPr>
            <w:r>
              <w:t xml:space="preserve">+0.417</w:t>
            </w:r>
          </w:p>
        </w:tc>
      </w:tr>
    </w:tbl>
    <w:p>
      <w:r>
        <w:pict>
          <v:rect style="width:0;height:1.5pt" o:hralign="center" o:hrstd="t" o:hr="t"/>
        </w:pict>
      </w:r>
    </w:p>
    <w:p>
      <w:pPr>
        <w:pStyle w:val="Heading2"/>
      </w:pPr>
      <w:bookmarkStart w:id="36" w:name="결론"/>
      <w:r>
        <w:t xml:space="preserve">6. 결론</w:t>
      </w:r>
      <w:bookmarkEnd w:id="36"/>
    </w:p>
    <w:p>
      <w:pPr>
        <w:pStyle w:val="FirstParagraph"/>
      </w:pPr>
      <w:r>
        <w:t xml:space="preserve">본 논문은 다중 에이전트 이미지 포렌식에서 에이전트 간 불일치 패턴을 명시적으로 학습하는 합의 기법 DAAC를 제안했다. DAAC-GBM은 COBRA 대비 macro-F1 0.861 vs 0.266(p=0.00195)의 유의한 우위를 보이며, 6개 데이터 조합 60회 반복에서도 일관된 우위를 확인했다(sign 60/0). 에이전트 성능 개선 없이 합의 계층만 개선해도 +0.43~+0.60의 F1 향상이 가능하며, 이는 다중 에이전트 시스템에서 합의 방식 설계가 개별 에이전트 성능만큼 중요함을 시사한다. 향후 연구로 FatFormer를 OpenSDI(SD/Flux) 데이터로 재학습하여 최신 Diffusion 이미지에 대한 성능 향상을 검토할 예정이다.</w:t>
      </w:r>
    </w:p>
    <w:p>
      <w:r>
        <w:pict>
          <v:rect style="width:0;height:1.5pt" o:hralign="center" o:hrstd="t" o:hr="t"/>
        </w:pict>
      </w:r>
    </w:p>
    <w:p>
      <w:pPr>
        <w:pStyle w:val="Heading2"/>
      </w:pPr>
      <w:bookmarkStart w:id="37" w:name="참고문헌"/>
      <w:r>
        <w:t xml:space="preserve">참고문헌</w:t>
      </w:r>
      <w:bookmarkEnd w:id="37"/>
    </w:p>
    <w:p>
      <w:pPr>
        <w:pStyle w:val="FirstParagraph"/>
      </w:pPr>
      <w:r>
        <w:t xml:space="preserve">[1] Z. Haider, et al. </w:t>
      </w:r>
      <w:r>
        <w:t xml:space="preserve">“</w:t>
      </w:r>
      <w:r>
        <w:t xml:space="preserve">Consensus-Based Reward Model for Better Alignment of Large Language Models</w:t>
      </w:r>
      <w:r>
        <w:t xml:space="preserve">”</w:t>
      </w:r>
      <w:r>
        <w:t xml:space="preserve"> </w:t>
      </w:r>
      <w:r>
        <w:t xml:space="preserve">Scientific Reports, Vol. 15, Article 4004, 2025.</w:t>
      </w:r>
    </w:p>
    <w:p>
      <w:pPr>
        <w:pStyle w:val="BodyText"/>
      </w:pPr>
      <w:r>
        <w:t xml:space="preserve">[2] H. Liu, et al. </w:t>
      </w:r>
      <w:r>
        <w:t xml:space="preserve">“</w:t>
      </w:r>
      <w:r>
        <w:t xml:space="preserve">Learning to Detect AI-Generated Images via FatFormer</w:t>
      </w:r>
      <w:r>
        <w:t xml:space="preserve">”</w:t>
      </w:r>
      <w:r>
        <w:t xml:space="preserve"> </w:t>
      </w:r>
      <w:r>
        <w:t xml:space="preserve">CVPR, Seattle, 2024, pp. 10770-10780.</w:t>
      </w:r>
    </w:p>
    <w:p>
      <w:pPr>
        <w:pStyle w:val="BodyText"/>
      </w:pPr>
      <w:r>
        <w:t xml:space="preserve">[3] F. Guillaro, et al. </w:t>
      </w:r>
      <w:r>
        <w:t xml:space="preserve">“</w:t>
      </w:r>
      <w:r>
        <w:t xml:space="preserve">TruFor: Leveraging All-Round Clues for Trustworthy Image Forgery Detection and Localization</w:t>
      </w:r>
      <w:r>
        <w:t xml:space="preserve">”</w:t>
      </w:r>
      <w:r>
        <w:t xml:space="preserve"> </w:t>
      </w:r>
      <w:r>
        <w:t xml:space="preserve">CVPR, Vancouver, 2023, pp. 20606-20615.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2026-03-06T01:55:43Z</dcterms:created>
  <dcterms:modified xsi:type="dcterms:W3CDTF">2026-03-06T01:55:43Z</dcterms:modified>
</cp:coreProperties>
</file>

<file path=docProps/custom.xml><?xml version="1.0" encoding="utf-8"?>
<Properties xmlns="http://schemas.openxmlformats.org/officeDocument/2006/custom-properties" xmlns:vt="http://schemas.openxmlformats.org/officeDocument/2006/docPropsVTypes"/>
</file>