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rsidR="00762807" w:rsidRP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Increasing healthcare costs in an unstable political and social landscape in the United States requires better understanding of how costs arise. Patient length of stay (Los) in a hospital is one factor that directly contributes to increased healthcare costs. Predictive models can be created to predict patient length of stay to better understand the factors the influence LoS that can be addressed by changes in management, administration and policy. Using a dataset on </w:t>
      </w:r>
      <w:r>
        <w:rPr>
          <w:rFonts w:ascii="Times New Roman" w:hAnsi="Times New Roman" w:cs="Times New Roman"/>
          <w:color w:val="000000"/>
          <w:sz w:val="24"/>
          <w:szCs w:val="24"/>
        </w:rPr>
        <w:t>3612</w:t>
      </w:r>
      <w:r>
        <w:rPr>
          <w:rFonts w:ascii="Times New Roman" w:hAnsi="Times New Roman" w:cs="Times New Roman"/>
          <w:color w:val="000000"/>
          <w:sz w:val="24"/>
          <w:szCs w:val="24"/>
        </w:rPr>
        <w:t xml:space="preserve"> patients collected by </w:t>
      </w:r>
      <w:r>
        <w:rPr>
          <w:rFonts w:ascii="Times New Roman" w:hAnsi="Times New Roman" w:cs="Times New Roman"/>
          <w:color w:val="000000"/>
          <w:sz w:val="24"/>
          <w:szCs w:val="24"/>
        </w:rPr>
        <w:t>Good Health Corporation</w:t>
      </w:r>
      <w:r>
        <w:rPr>
          <w:rFonts w:ascii="Times New Roman" w:hAnsi="Times New Roman" w:cs="Times New Roman"/>
          <w:color w:val="000000"/>
          <w:sz w:val="24"/>
          <w:szCs w:val="24"/>
        </w:rPr>
        <w:t xml:space="preserve">, we produced a multiple linear predictive model for LoS based on X predictors with an adjusted R2 value </w:t>
      </w:r>
      <w:proofErr w:type="gramStart"/>
      <w:r>
        <w:rPr>
          <w:rFonts w:ascii="Times New Roman" w:hAnsi="Times New Roman" w:cs="Times New Roman"/>
          <w:color w:val="000000"/>
          <w:sz w:val="24"/>
          <w:szCs w:val="24"/>
        </w:rPr>
        <w:t>of ,</w:t>
      </w:r>
      <w:proofErr w:type="gramEnd"/>
      <w:r>
        <w:rPr>
          <w:rFonts w:ascii="Times New Roman" w:hAnsi="Times New Roman" w:cs="Times New Roman"/>
          <w:color w:val="000000"/>
          <w:sz w:val="24"/>
          <w:szCs w:val="24"/>
        </w:rPr>
        <w:t xml:space="preserve"> a CP value of  X and an AIC of X. The model was validated using a bootstrap method. As expected, predictive elements were all determinants of the patient’s previous health. However, due to the low R2 value, it is suggested that a different modeling technique be used to optimize predictive capabilities to better alter management and administration to reduce costs.</w:t>
      </w:r>
    </w:p>
    <w:p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Costs are consistently rising</w:t>
      </w:r>
      <w:r w:rsidR="00A07F41">
        <w:rPr>
          <w:rFonts w:ascii="Times New Roman" w:hAnsi="Times New Roman" w:cs="Times New Roman"/>
          <w:color w:val="000000"/>
          <w:sz w:val="24"/>
          <w:szCs w:val="24"/>
        </w:rPr>
        <w:t xml:space="preserve"> with questionable improvements in quality of care or life in relation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Due to rising costs and systemic concerns, there has been widespread debate on</w:t>
      </w:r>
      <w:r w:rsidR="00B16111">
        <w:rPr>
          <w:rFonts w:ascii="Times New Roman" w:hAnsi="Times New Roman" w:cs="Times New Roman"/>
          <w:color w:val="000000"/>
          <w:sz w:val="24"/>
          <w:szCs w:val="24"/>
        </w:rPr>
        <w:t xml:space="preserve"> healthcare policy and management to optimize</w:t>
      </w:r>
      <w:r w:rsidR="00B01872">
        <w:rPr>
          <w:rFonts w:ascii="Times New Roman" w:hAnsi="Times New Roman" w:cs="Times New Roman"/>
          <w:color w:val="000000"/>
          <w:sz w:val="24"/>
          <w:szCs w:val="24"/>
        </w:rPr>
        <w:t xml:space="preserve"> the</w:t>
      </w:r>
      <w:r w:rsidR="00B16111">
        <w:rPr>
          <w:rFonts w:ascii="Times New Roman" w:hAnsi="Times New Roman" w:cs="Times New Roman"/>
          <w:color w:val="000000"/>
          <w:sz w:val="24"/>
          <w:szCs w:val="24"/>
        </w:rPr>
        <w:t xml:space="preserve"> current system</w:t>
      </w:r>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To optimize management and healthcare administration, we need a better understanding of the factors that influence overall costs. One such factor</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patient </w:t>
      </w:r>
      <w:r w:rsidR="00B16111">
        <w:rPr>
          <w:rFonts w:ascii="Times New Roman" w:hAnsi="Times New Roman" w:cs="Times New Roman"/>
          <w:color w:val="000000"/>
          <w:sz w:val="24"/>
          <w:szCs w:val="24"/>
        </w:rPr>
        <w:lastRenderedPageBreak/>
        <w:t>length of stay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patients admitted into the hospital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possible predictors</w:t>
      </w:r>
      <w:r w:rsidR="00B16111">
        <w:rPr>
          <w:rFonts w:ascii="Times New Roman" w:hAnsi="Times New Roman" w:cs="Times New Roman"/>
          <w:color w:val="000000"/>
          <w:sz w:val="24"/>
          <w:szCs w:val="24"/>
        </w:rPr>
        <w:t xml:space="preserve"> and has requested that a predictive model with </w:t>
      </w:r>
      <w:r w:rsidR="00B01872">
        <w:rPr>
          <w:rFonts w:ascii="Times New Roman" w:hAnsi="Times New Roman" w:cs="Times New Roman"/>
          <w:color w:val="000000"/>
          <w:sz w:val="24"/>
          <w:szCs w:val="24"/>
        </w:rPr>
        <w:t>Los</w:t>
      </w:r>
      <w:r w:rsidR="00B16111">
        <w:rPr>
          <w:rFonts w:ascii="Times New Roman" w:hAnsi="Times New Roman" w:cs="Times New Roman"/>
          <w:color w:val="000000"/>
          <w:sz w:val="24"/>
          <w:szCs w:val="24"/>
        </w:rPr>
        <w:t xml:space="preserve"> as the outcome be created based on input predictors. </w:t>
      </w:r>
      <w:r w:rsidR="00D60297">
        <w:rPr>
          <w:rFonts w:ascii="Times New Roman" w:hAnsi="Times New Roman" w:cs="Times New Roman"/>
          <w:color w:val="000000"/>
          <w:sz w:val="24"/>
          <w:szCs w:val="24"/>
        </w:rPr>
        <w:t xml:space="preserve">To better understand the factors that affect LoS so that these can be addressed and optimized to reduce healthcare costs, </w:t>
      </w:r>
      <w:r w:rsidR="008454E5">
        <w:rPr>
          <w:rFonts w:ascii="Times New Roman" w:hAnsi="Times New Roman" w:cs="Times New Roman"/>
          <w:color w:val="000000"/>
          <w:sz w:val="24"/>
          <w:szCs w:val="24"/>
        </w:rPr>
        <w:t>we created a predictive model using multiple linear regression, based on the GHC data, that predicts patient length of stay based on relevant predictor variables</w:t>
      </w:r>
      <w:r w:rsidR="00B01872">
        <w:rPr>
          <w:rFonts w:ascii="Times New Roman" w:hAnsi="Times New Roman" w:cs="Times New Roman"/>
          <w:color w:val="000000"/>
          <w:sz w:val="24"/>
          <w:szCs w:val="24"/>
        </w:rPr>
        <w:t>.</w:t>
      </w: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w:t>
      </w:r>
      <w:r w:rsidR="0011746C">
        <w:rPr>
          <w:rFonts w:ascii="Times New Roman" w:hAnsi="Times New Roman" w:cs="Times New Roman"/>
          <w:color w:val="000000"/>
          <w:sz w:val="24"/>
          <w:szCs w:val="24"/>
        </w:rPr>
        <w:lastRenderedPageBreak/>
        <w:t>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rsidR="004B4BA5" w:rsidRDefault="006C0B06" w:rsidP="004B4BA5">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6C0B06" w:rsidRDefault="004B4BA5" w:rsidP="004B4B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Summary statistics for all relevant continuous predictors used in model selection and for length of stay are included in table 1 and proportions for categorical variables are included in table 2.</w:t>
      </w:r>
    </w:p>
    <w:p w:rsidR="003138CB" w:rsidRDefault="003138CB" w:rsidP="004B4BA5">
      <w:pPr>
        <w:pStyle w:val="HTMLPreformatted"/>
        <w:shd w:val="clear" w:color="auto" w:fill="FFFFFF"/>
        <w:spacing w:line="480" w:lineRule="auto"/>
        <w:rPr>
          <w:rFonts w:ascii="Times New Roman" w:hAnsi="Times New Roman" w:cs="Times New Roman"/>
          <w:color w:val="000000"/>
          <w:sz w:val="24"/>
          <w:szCs w:val="24"/>
        </w:rPr>
      </w:pPr>
    </w:p>
    <w:p w:rsidR="003138CB" w:rsidRDefault="003138CB" w:rsidP="004B4BA5">
      <w:pPr>
        <w:pStyle w:val="HTMLPreformatted"/>
        <w:shd w:val="clear" w:color="auto" w:fill="FFFFFF"/>
        <w:spacing w:line="480" w:lineRule="auto"/>
        <w:rPr>
          <w:rFonts w:ascii="Times New Roman" w:hAnsi="Times New Roman" w:cs="Times New Roman"/>
          <w:color w:val="000000"/>
          <w:sz w:val="24"/>
          <w:szCs w:val="24"/>
        </w:rPr>
      </w:pPr>
    </w:p>
    <w:p w:rsidR="003138CB" w:rsidRDefault="00D010A9" w:rsidP="004B4B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Table 1.</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variable        n     mean     </w:t>
      </w:r>
      <w:proofErr w:type="spellStart"/>
      <w:r>
        <w:rPr>
          <w:rFonts w:ascii="Lucida Console" w:hAnsi="Lucida Console"/>
          <w:color w:val="000000"/>
        </w:rPr>
        <w:t>sd</w:t>
      </w:r>
      <w:proofErr w:type="spellEnd"/>
      <w:r>
        <w:rPr>
          <w:rFonts w:ascii="Lucida Console" w:hAnsi="Lucida Console"/>
          <w:color w:val="000000"/>
        </w:rPr>
        <w:t xml:space="preserve">     minimum   maximum   median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 ------- ------- --------- ---------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losdays2       3612   5.461   5.92    0.04167    87.96    3.833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ageyear</w:t>
      </w:r>
      <w:proofErr w:type="spellEnd"/>
      <w:r>
        <w:rPr>
          <w:rFonts w:ascii="Lucida Console" w:hAnsi="Lucida Console"/>
          <w:color w:val="000000"/>
        </w:rPr>
        <w:t xml:space="preserve">       3612   65.69   18.69     18        105       68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evisit</w:t>
      </w:r>
      <w:proofErr w:type="spellEnd"/>
      <w:r>
        <w:rPr>
          <w:rFonts w:ascii="Lucida Console" w:hAnsi="Lucida Console"/>
          <w:color w:val="000000"/>
        </w:rPr>
        <w:t xml:space="preserve">        3612   1.754   1.577      0         4        1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bmi</w:t>
      </w:r>
      <w:proofErr w:type="spellEnd"/>
      <w:r>
        <w:rPr>
          <w:rFonts w:ascii="Lucida Console" w:hAnsi="Lucida Console"/>
          <w:color w:val="000000"/>
        </w:rPr>
        <w:t xml:space="preserve">         2929   28.35   7.991     3.1      122.7     27.1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bpsystolic</w:t>
      </w:r>
      <w:proofErr w:type="spellEnd"/>
      <w:r>
        <w:rPr>
          <w:rFonts w:ascii="Lucida Console" w:hAnsi="Lucida Console"/>
          <w:color w:val="000000"/>
        </w:rPr>
        <w:t xml:space="preserve">      3607   130.6   16.72    88.78      194     129.2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o2sat        3609   97.86   4.908     80       236.5    97.59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temperature     3610   36.73   0.899    11.85     52.27    36.73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heartrate      3607   80.07    13      37.58     242.6     79.2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respirationrate</w:t>
      </w:r>
      <w:proofErr w:type="spellEnd"/>
      <w:r>
        <w:rPr>
          <w:rFonts w:ascii="Lucida Console" w:hAnsi="Lucida Console"/>
          <w:color w:val="000000"/>
        </w:rPr>
        <w:t xml:space="preserve">   3609   18.2    2.633     12       67.72    17.76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bpdiastolic</w:t>
      </w:r>
      <w:proofErr w:type="spellEnd"/>
      <w:r>
        <w:rPr>
          <w:rFonts w:ascii="Lucida Console" w:hAnsi="Lucida Console"/>
          <w:color w:val="000000"/>
        </w:rPr>
        <w:t xml:space="preserve">     3611   72.52   9.798    29.56     154.4    71.85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D010A9" w:rsidRDefault="00D010A9" w:rsidP="001634AC"/>
    <w:p w:rsidR="001634AC" w:rsidRDefault="00D010A9" w:rsidP="001634AC">
      <w:r>
        <w:t>Table 2.</w:t>
      </w:r>
    </w:p>
    <w:tbl>
      <w:tblPr>
        <w:tblStyle w:val="TableGrid"/>
        <w:tblW w:w="0" w:type="auto"/>
        <w:tblLook w:val="04A0" w:firstRow="1" w:lastRow="0" w:firstColumn="1" w:lastColumn="0" w:noHBand="0" w:noVBand="1"/>
      </w:tblPr>
      <w:tblGrid>
        <w:gridCol w:w="3116"/>
        <w:gridCol w:w="3117"/>
      </w:tblGrid>
      <w:tr w:rsidR="001634AC" w:rsidTr="006D2B49">
        <w:tc>
          <w:tcPr>
            <w:tcW w:w="3116" w:type="dxa"/>
          </w:tcPr>
          <w:p w:rsidR="001634AC" w:rsidRDefault="001634AC" w:rsidP="006D2B49">
            <w:r>
              <w:t>Variable</w:t>
            </w:r>
          </w:p>
        </w:tc>
        <w:tc>
          <w:tcPr>
            <w:tcW w:w="3117" w:type="dxa"/>
          </w:tcPr>
          <w:p w:rsidR="001634AC" w:rsidRDefault="001634AC" w:rsidP="006D2B49">
            <w:r>
              <w:t>N (%)</w:t>
            </w:r>
          </w:p>
        </w:tc>
      </w:tr>
      <w:tr w:rsidR="001634AC" w:rsidTr="006D2B49">
        <w:tc>
          <w:tcPr>
            <w:tcW w:w="6233" w:type="dxa"/>
            <w:gridSpan w:val="2"/>
          </w:tcPr>
          <w:p w:rsidR="001634AC" w:rsidRDefault="001634AC" w:rsidP="006D2B49">
            <w:r w:rsidRPr="00001E69">
              <w:rPr>
                <w:b/>
              </w:rPr>
              <w:t>Gender</w:t>
            </w:r>
          </w:p>
        </w:tc>
      </w:tr>
      <w:tr w:rsidR="001634AC" w:rsidTr="006D2B49">
        <w:tc>
          <w:tcPr>
            <w:tcW w:w="3116" w:type="dxa"/>
          </w:tcPr>
          <w:p w:rsidR="001634AC" w:rsidRDefault="001634AC" w:rsidP="006D2B49">
            <w:r>
              <w:t>Male</w:t>
            </w:r>
          </w:p>
        </w:tc>
        <w:tc>
          <w:tcPr>
            <w:tcW w:w="3117" w:type="dxa"/>
          </w:tcPr>
          <w:p w:rsidR="001634AC" w:rsidRDefault="001634AC" w:rsidP="006D2B49">
            <w:r>
              <w:t>1660</w:t>
            </w:r>
          </w:p>
        </w:tc>
      </w:tr>
      <w:tr w:rsidR="001634AC" w:rsidTr="006D2B49">
        <w:tc>
          <w:tcPr>
            <w:tcW w:w="3116" w:type="dxa"/>
          </w:tcPr>
          <w:p w:rsidR="001634AC" w:rsidRDefault="001634AC" w:rsidP="006D2B49">
            <w:r>
              <w:t>Female</w:t>
            </w:r>
          </w:p>
        </w:tc>
        <w:tc>
          <w:tcPr>
            <w:tcW w:w="3117" w:type="dxa"/>
          </w:tcPr>
          <w:p w:rsidR="001634AC" w:rsidRDefault="001634AC" w:rsidP="006D2B49">
            <w:r>
              <w:t>1952</w:t>
            </w:r>
          </w:p>
        </w:tc>
      </w:tr>
      <w:tr w:rsidR="001634AC" w:rsidTr="006D2B49">
        <w:tc>
          <w:tcPr>
            <w:tcW w:w="6233" w:type="dxa"/>
            <w:gridSpan w:val="2"/>
          </w:tcPr>
          <w:p w:rsidR="001634AC" w:rsidRDefault="001634AC" w:rsidP="006D2B49">
            <w:r w:rsidRPr="00001E69">
              <w:rPr>
                <w:b/>
              </w:rPr>
              <w:t>Race</w:t>
            </w:r>
          </w:p>
        </w:tc>
      </w:tr>
      <w:tr w:rsidR="001634AC" w:rsidTr="006D2B49">
        <w:tc>
          <w:tcPr>
            <w:tcW w:w="3116" w:type="dxa"/>
          </w:tcPr>
          <w:p w:rsidR="001634AC" w:rsidRDefault="001634AC" w:rsidP="006D2B49">
            <w:r>
              <w:t xml:space="preserve">White </w:t>
            </w:r>
          </w:p>
        </w:tc>
        <w:tc>
          <w:tcPr>
            <w:tcW w:w="3117" w:type="dxa"/>
          </w:tcPr>
          <w:p w:rsidR="001634AC" w:rsidRDefault="001634AC" w:rsidP="006D2B49">
            <w:r>
              <w:t>2057</w:t>
            </w:r>
          </w:p>
        </w:tc>
      </w:tr>
      <w:tr w:rsidR="001634AC" w:rsidTr="006D2B49">
        <w:tc>
          <w:tcPr>
            <w:tcW w:w="3116" w:type="dxa"/>
          </w:tcPr>
          <w:p w:rsidR="001634AC" w:rsidRDefault="001634AC" w:rsidP="006D2B49">
            <w:r>
              <w:lastRenderedPageBreak/>
              <w:t>Black</w:t>
            </w:r>
          </w:p>
        </w:tc>
        <w:tc>
          <w:tcPr>
            <w:tcW w:w="3117" w:type="dxa"/>
          </w:tcPr>
          <w:p w:rsidR="001634AC" w:rsidRDefault="001634AC" w:rsidP="006D2B49">
            <w:r>
              <w:t>772</w:t>
            </w:r>
          </w:p>
        </w:tc>
      </w:tr>
      <w:tr w:rsidR="001634AC" w:rsidTr="006D2B49">
        <w:tc>
          <w:tcPr>
            <w:tcW w:w="3116" w:type="dxa"/>
          </w:tcPr>
          <w:p w:rsidR="001634AC" w:rsidRDefault="001634AC" w:rsidP="006D2B49">
            <w:r>
              <w:t>Asian</w:t>
            </w:r>
          </w:p>
        </w:tc>
        <w:tc>
          <w:tcPr>
            <w:tcW w:w="3117" w:type="dxa"/>
          </w:tcPr>
          <w:p w:rsidR="001634AC" w:rsidRDefault="001634AC" w:rsidP="006D2B49">
            <w:r>
              <w:t>249</w:t>
            </w:r>
          </w:p>
        </w:tc>
      </w:tr>
      <w:tr w:rsidR="001634AC" w:rsidTr="006D2B49">
        <w:tc>
          <w:tcPr>
            <w:tcW w:w="3116" w:type="dxa"/>
          </w:tcPr>
          <w:p w:rsidR="001634AC" w:rsidRDefault="001634AC" w:rsidP="006D2B49">
            <w:r>
              <w:t>Native American (Alaskan)</w:t>
            </w:r>
          </w:p>
        </w:tc>
        <w:tc>
          <w:tcPr>
            <w:tcW w:w="3117" w:type="dxa"/>
          </w:tcPr>
          <w:p w:rsidR="001634AC" w:rsidRDefault="001634AC" w:rsidP="006D2B49">
            <w:r>
              <w:t>22</w:t>
            </w:r>
          </w:p>
        </w:tc>
      </w:tr>
      <w:tr w:rsidR="001634AC" w:rsidTr="006D2B49">
        <w:tc>
          <w:tcPr>
            <w:tcW w:w="3116" w:type="dxa"/>
          </w:tcPr>
          <w:p w:rsidR="001634AC" w:rsidRDefault="001634AC" w:rsidP="006D2B49">
            <w:r>
              <w:t>Native American (Hawaiian/Pacific Islander)</w:t>
            </w:r>
          </w:p>
        </w:tc>
        <w:tc>
          <w:tcPr>
            <w:tcW w:w="3117" w:type="dxa"/>
          </w:tcPr>
          <w:p w:rsidR="001634AC" w:rsidRDefault="001634AC" w:rsidP="006D2B49">
            <w:r>
              <w:t>4</w:t>
            </w:r>
          </w:p>
        </w:tc>
      </w:tr>
      <w:tr w:rsidR="001634AC" w:rsidTr="006D2B49">
        <w:tc>
          <w:tcPr>
            <w:tcW w:w="3116" w:type="dxa"/>
          </w:tcPr>
          <w:p w:rsidR="001634AC" w:rsidRDefault="001634AC" w:rsidP="006D2B49">
            <w:r>
              <w:t xml:space="preserve">Other </w:t>
            </w:r>
          </w:p>
        </w:tc>
        <w:tc>
          <w:tcPr>
            <w:tcW w:w="3117" w:type="dxa"/>
          </w:tcPr>
          <w:p w:rsidR="001634AC" w:rsidRDefault="001634AC" w:rsidP="006D2B49">
            <w:r>
              <w:t>508</w:t>
            </w:r>
          </w:p>
        </w:tc>
      </w:tr>
      <w:tr w:rsidR="001634AC" w:rsidTr="006D2B49">
        <w:tc>
          <w:tcPr>
            <w:tcW w:w="6233" w:type="dxa"/>
            <w:gridSpan w:val="2"/>
          </w:tcPr>
          <w:p w:rsidR="001634AC" w:rsidRDefault="001634AC" w:rsidP="006D2B49">
            <w:r w:rsidRPr="00001E69">
              <w:rPr>
                <w:b/>
              </w:rPr>
              <w:t>Insurance</w:t>
            </w:r>
          </w:p>
        </w:tc>
      </w:tr>
      <w:tr w:rsidR="001634AC" w:rsidTr="006D2B49">
        <w:trPr>
          <w:trHeight w:val="50"/>
        </w:trPr>
        <w:tc>
          <w:tcPr>
            <w:tcW w:w="3116" w:type="dxa"/>
          </w:tcPr>
          <w:p w:rsidR="001634AC" w:rsidRDefault="001634AC" w:rsidP="006D2B49">
            <w:r>
              <w:t>Medicare</w:t>
            </w:r>
          </w:p>
        </w:tc>
        <w:tc>
          <w:tcPr>
            <w:tcW w:w="3117" w:type="dxa"/>
          </w:tcPr>
          <w:p w:rsidR="001634AC" w:rsidRDefault="001634AC" w:rsidP="006D2B49">
            <w:r>
              <w:t>1425</w:t>
            </w:r>
          </w:p>
        </w:tc>
      </w:tr>
      <w:tr w:rsidR="001634AC" w:rsidTr="006D2B49">
        <w:tc>
          <w:tcPr>
            <w:tcW w:w="3116" w:type="dxa"/>
          </w:tcPr>
          <w:p w:rsidR="001634AC" w:rsidRDefault="001634AC" w:rsidP="006D2B49">
            <w:r>
              <w:t>Medicaid</w:t>
            </w:r>
          </w:p>
        </w:tc>
        <w:tc>
          <w:tcPr>
            <w:tcW w:w="3117" w:type="dxa"/>
          </w:tcPr>
          <w:p w:rsidR="001634AC" w:rsidRDefault="001634AC" w:rsidP="006D2B49">
            <w:r>
              <w:t>166</w:t>
            </w:r>
          </w:p>
        </w:tc>
      </w:tr>
      <w:tr w:rsidR="001634AC" w:rsidTr="006D2B49">
        <w:tc>
          <w:tcPr>
            <w:tcW w:w="3116" w:type="dxa"/>
          </w:tcPr>
          <w:p w:rsidR="001634AC" w:rsidRDefault="001634AC" w:rsidP="006D2B49">
            <w:r>
              <w:t>Private</w:t>
            </w:r>
          </w:p>
        </w:tc>
        <w:tc>
          <w:tcPr>
            <w:tcW w:w="3117" w:type="dxa"/>
          </w:tcPr>
          <w:p w:rsidR="001634AC" w:rsidRDefault="001634AC" w:rsidP="006D2B49">
            <w:r>
              <w:t>1987</w:t>
            </w:r>
          </w:p>
        </w:tc>
      </w:tr>
      <w:tr w:rsidR="001634AC" w:rsidTr="006D2B49">
        <w:tc>
          <w:tcPr>
            <w:tcW w:w="3116" w:type="dxa"/>
          </w:tcPr>
          <w:p w:rsidR="001634AC" w:rsidRDefault="001634AC" w:rsidP="006D2B49">
            <w:r>
              <w:t>Missing Data</w:t>
            </w:r>
          </w:p>
        </w:tc>
        <w:tc>
          <w:tcPr>
            <w:tcW w:w="3117" w:type="dxa"/>
          </w:tcPr>
          <w:p w:rsidR="001634AC" w:rsidRDefault="001634AC" w:rsidP="006D2B49">
            <w:r>
              <w:t>34</w:t>
            </w:r>
          </w:p>
        </w:tc>
      </w:tr>
      <w:tr w:rsidR="001634AC" w:rsidTr="006D2B49">
        <w:tc>
          <w:tcPr>
            <w:tcW w:w="6233" w:type="dxa"/>
            <w:gridSpan w:val="2"/>
          </w:tcPr>
          <w:p w:rsidR="001634AC" w:rsidRDefault="001634AC" w:rsidP="006D2B49">
            <w:r w:rsidRPr="00001E69">
              <w:rPr>
                <w:b/>
              </w:rPr>
              <w:t>Marital Status</w:t>
            </w:r>
          </w:p>
        </w:tc>
      </w:tr>
      <w:tr w:rsidR="001634AC" w:rsidTr="006D2B49">
        <w:tc>
          <w:tcPr>
            <w:tcW w:w="3116" w:type="dxa"/>
          </w:tcPr>
          <w:p w:rsidR="001634AC" w:rsidRDefault="001634AC" w:rsidP="006D2B49">
            <w:r>
              <w:t>Single</w:t>
            </w:r>
          </w:p>
        </w:tc>
        <w:tc>
          <w:tcPr>
            <w:tcW w:w="3117" w:type="dxa"/>
          </w:tcPr>
          <w:p w:rsidR="001634AC" w:rsidRDefault="001634AC" w:rsidP="006D2B49">
            <w:r>
              <w:t>951</w:t>
            </w:r>
          </w:p>
        </w:tc>
      </w:tr>
      <w:tr w:rsidR="001634AC" w:rsidTr="006D2B49">
        <w:tc>
          <w:tcPr>
            <w:tcW w:w="3116" w:type="dxa"/>
          </w:tcPr>
          <w:p w:rsidR="001634AC" w:rsidRDefault="001634AC" w:rsidP="006D2B49">
            <w:r>
              <w:t>Married</w:t>
            </w:r>
          </w:p>
        </w:tc>
        <w:tc>
          <w:tcPr>
            <w:tcW w:w="3117" w:type="dxa"/>
          </w:tcPr>
          <w:p w:rsidR="001634AC" w:rsidRDefault="001634AC" w:rsidP="006D2B49">
            <w:r>
              <w:t>1607</w:t>
            </w:r>
          </w:p>
        </w:tc>
      </w:tr>
      <w:tr w:rsidR="001634AC" w:rsidTr="006D2B49">
        <w:tc>
          <w:tcPr>
            <w:tcW w:w="3116" w:type="dxa"/>
          </w:tcPr>
          <w:p w:rsidR="001634AC" w:rsidRDefault="001634AC" w:rsidP="006D2B49">
            <w:r>
              <w:t>Widowed</w:t>
            </w:r>
          </w:p>
        </w:tc>
        <w:tc>
          <w:tcPr>
            <w:tcW w:w="3117" w:type="dxa"/>
          </w:tcPr>
          <w:p w:rsidR="001634AC" w:rsidRDefault="001634AC" w:rsidP="006D2B49">
            <w:r>
              <w:t>690</w:t>
            </w:r>
          </w:p>
        </w:tc>
      </w:tr>
      <w:tr w:rsidR="001634AC" w:rsidTr="006D2B49">
        <w:tc>
          <w:tcPr>
            <w:tcW w:w="3116" w:type="dxa"/>
          </w:tcPr>
          <w:p w:rsidR="001634AC" w:rsidRDefault="001634AC" w:rsidP="006D2B49">
            <w:r>
              <w:t>Divorced</w:t>
            </w:r>
          </w:p>
        </w:tc>
        <w:tc>
          <w:tcPr>
            <w:tcW w:w="3117" w:type="dxa"/>
          </w:tcPr>
          <w:p w:rsidR="001634AC" w:rsidRDefault="001634AC" w:rsidP="006D2B49">
            <w:r>
              <w:t>235</w:t>
            </w:r>
          </w:p>
        </w:tc>
      </w:tr>
      <w:tr w:rsidR="001634AC" w:rsidTr="006D2B49">
        <w:tc>
          <w:tcPr>
            <w:tcW w:w="3116" w:type="dxa"/>
          </w:tcPr>
          <w:p w:rsidR="001634AC" w:rsidRDefault="001634AC" w:rsidP="006D2B49">
            <w:r>
              <w:t>Separated</w:t>
            </w:r>
          </w:p>
        </w:tc>
        <w:tc>
          <w:tcPr>
            <w:tcW w:w="3117" w:type="dxa"/>
          </w:tcPr>
          <w:p w:rsidR="001634AC" w:rsidRDefault="001634AC" w:rsidP="006D2B49">
            <w:r>
              <w:t>51</w:t>
            </w:r>
          </w:p>
        </w:tc>
      </w:tr>
      <w:tr w:rsidR="001634AC" w:rsidTr="006D2B49">
        <w:tc>
          <w:tcPr>
            <w:tcW w:w="3116" w:type="dxa"/>
          </w:tcPr>
          <w:p w:rsidR="001634AC" w:rsidRDefault="001634AC" w:rsidP="006D2B49">
            <w:r>
              <w:t>Civil Union</w:t>
            </w:r>
          </w:p>
        </w:tc>
        <w:tc>
          <w:tcPr>
            <w:tcW w:w="3117" w:type="dxa"/>
          </w:tcPr>
          <w:p w:rsidR="001634AC" w:rsidRDefault="001634AC" w:rsidP="006D2B49">
            <w:r>
              <w:t>1</w:t>
            </w:r>
          </w:p>
        </w:tc>
      </w:tr>
      <w:tr w:rsidR="001634AC" w:rsidTr="006D2B49">
        <w:tc>
          <w:tcPr>
            <w:tcW w:w="3116" w:type="dxa"/>
          </w:tcPr>
          <w:p w:rsidR="001634AC" w:rsidRDefault="001634AC" w:rsidP="006D2B49">
            <w:r>
              <w:t>Missing Data</w:t>
            </w:r>
          </w:p>
        </w:tc>
        <w:tc>
          <w:tcPr>
            <w:tcW w:w="3117" w:type="dxa"/>
          </w:tcPr>
          <w:p w:rsidR="001634AC" w:rsidRDefault="001634AC" w:rsidP="006D2B49">
            <w:r>
              <w:t>77</w:t>
            </w:r>
          </w:p>
        </w:tc>
      </w:tr>
      <w:tr w:rsidR="001634AC" w:rsidTr="006D2B49">
        <w:tc>
          <w:tcPr>
            <w:tcW w:w="3116" w:type="dxa"/>
          </w:tcPr>
          <w:p w:rsidR="001634AC" w:rsidRDefault="001634AC" w:rsidP="006D2B49">
            <w:r>
              <w:t>30 Day Readmit Rate</w:t>
            </w:r>
          </w:p>
        </w:tc>
        <w:tc>
          <w:tcPr>
            <w:tcW w:w="3117" w:type="dxa"/>
          </w:tcPr>
          <w:p w:rsidR="001634AC" w:rsidRDefault="001634AC" w:rsidP="006D2B49">
            <w:r>
              <w:t>517</w:t>
            </w:r>
          </w:p>
        </w:tc>
      </w:tr>
    </w:tbl>
    <w:p w:rsidR="001634AC" w:rsidRDefault="001634AC"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rsidR="006C0B06" w:rsidRDefault="001634AC" w:rsidP="007E2EFF">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 xml:space="preserve">30 </w:t>
      </w:r>
      <w:proofErr w:type="gramStart"/>
      <w:r w:rsidR="00F7692E">
        <w:rPr>
          <w:rFonts w:ascii="Times New Roman" w:hAnsi="Times New Roman" w:cs="Times New Roman"/>
          <w:color w:val="000000"/>
          <w:sz w:val="24"/>
          <w:szCs w:val="24"/>
        </w:rPr>
        <w:t>day</w:t>
      </w:r>
      <w:proofErr w:type="gramEnd"/>
      <w:r w:rsidR="00F7692E">
        <w:rPr>
          <w:rFonts w:ascii="Times New Roman" w:hAnsi="Times New Roman" w:cs="Times New Roman"/>
          <w:color w:val="000000"/>
          <w:sz w:val="24"/>
          <w:szCs w:val="24"/>
        </w:rPr>
        <w:t xml:space="preserve"> readmit rate</w:t>
      </w:r>
      <w:r w:rsidR="008B32E2">
        <w:rPr>
          <w:rFonts w:ascii="Times New Roman" w:hAnsi="Times New Roman" w:cs="Times New Roman"/>
          <w:color w:val="000000"/>
          <w:sz w:val="24"/>
          <w:szCs w:val="24"/>
        </w:rPr>
        <w:t>, ER visits, C Index,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rsidR="003E1299" w:rsidRDefault="003E1299" w:rsidP="003E1299">
      <w:pPr>
        <w:pStyle w:val="HTMLPreformatted"/>
        <w:shd w:val="clear" w:color="auto" w:fill="FFFFFF"/>
        <w:rPr>
          <w:rFonts w:ascii="Times New Roman" w:hAnsi="Times New Roman" w:cs="Times New Roman"/>
          <w:color w:val="000000"/>
          <w:sz w:val="24"/>
          <w:szCs w:val="24"/>
        </w:rPr>
      </w:pPr>
    </w:p>
    <w:p w:rsidR="003E1299" w:rsidRDefault="00F27F59" w:rsidP="003E129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Predictor</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Coefficient 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Bootstrap Bias</w:t>
            </w: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7E2EFF" w:rsidTr="003E1299">
        <w:tc>
          <w:tcPr>
            <w:tcW w:w="1870" w:type="dxa"/>
          </w:tcPr>
          <w:p w:rsidR="007E2EFF" w:rsidRDefault="007E2EFF" w:rsidP="003E1299">
            <w:pPr>
              <w:pStyle w:val="HTMLPreformatted"/>
              <w:rPr>
                <w:rFonts w:ascii="Times New Roman" w:hAnsi="Times New Roman" w:cs="Times New Roman"/>
                <w:color w:val="000000"/>
                <w:sz w:val="24"/>
                <w:szCs w:val="24"/>
              </w:rPr>
            </w:pPr>
          </w:p>
        </w:tc>
        <w:tc>
          <w:tcPr>
            <w:tcW w:w="1870" w:type="dxa"/>
          </w:tcPr>
          <w:p w:rsidR="007E2EFF" w:rsidRDefault="007E2EFF" w:rsidP="003E1299">
            <w:pPr>
              <w:pStyle w:val="HTMLPreformatted"/>
              <w:rPr>
                <w:rFonts w:ascii="Times New Roman" w:hAnsi="Times New Roman" w:cs="Times New Roman"/>
                <w:color w:val="000000"/>
                <w:sz w:val="24"/>
                <w:szCs w:val="24"/>
              </w:rPr>
            </w:pPr>
          </w:p>
        </w:tc>
        <w:tc>
          <w:tcPr>
            <w:tcW w:w="1870" w:type="dxa"/>
          </w:tcPr>
          <w:p w:rsidR="007E2EFF" w:rsidRDefault="007E2EFF" w:rsidP="003E1299">
            <w:pPr>
              <w:pStyle w:val="HTMLPreformatted"/>
              <w:rPr>
                <w:rFonts w:ascii="Times New Roman" w:hAnsi="Times New Roman" w:cs="Times New Roman"/>
                <w:color w:val="000000"/>
                <w:sz w:val="24"/>
                <w:szCs w:val="24"/>
              </w:rPr>
            </w:pPr>
          </w:p>
        </w:tc>
        <w:tc>
          <w:tcPr>
            <w:tcW w:w="1870" w:type="dxa"/>
          </w:tcPr>
          <w:p w:rsidR="007E2EFF" w:rsidRDefault="007E2EFF" w:rsidP="003E1299">
            <w:pPr>
              <w:pStyle w:val="HTMLPreformatted"/>
              <w:rPr>
                <w:rFonts w:ascii="Times New Roman" w:hAnsi="Times New Roman" w:cs="Times New Roman"/>
                <w:color w:val="000000"/>
                <w:sz w:val="24"/>
                <w:szCs w:val="24"/>
              </w:rPr>
            </w:pPr>
          </w:p>
        </w:tc>
      </w:tr>
      <w:tr w:rsidR="003E1299" w:rsidTr="007E2EFF">
        <w:trPr>
          <w:trHeight w:val="161"/>
        </w:trPr>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bl>
    <w:p w:rsidR="009965F3" w:rsidRDefault="009965F3" w:rsidP="003E1299">
      <w:pPr>
        <w:pStyle w:val="HTMLPreformatted"/>
        <w:shd w:val="clear" w:color="auto" w:fill="FFFFFF"/>
        <w:rPr>
          <w:rFonts w:ascii="Times New Roman" w:hAnsi="Times New Roman" w:cs="Times New Roman"/>
          <w:color w:val="000000"/>
          <w:sz w:val="24"/>
          <w:szCs w:val="24"/>
        </w:rPr>
      </w:pPr>
    </w:p>
    <w:p w:rsidR="009965F3" w:rsidRDefault="00F27F59"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1.</w:t>
      </w:r>
    </w:p>
    <w:p w:rsidR="00F27F59" w:rsidRDefault="00F27F59"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bookmarkStart w:id="0" w:name="_GoBack"/>
      <w:bookmarkEnd w:id="0"/>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rsidR="00FD4CBB" w:rsidRDefault="00FD4CBB">
          <w:pPr>
            <w:pStyle w:val="Heading1"/>
          </w:pPr>
          <w:r>
            <w:t>References</w:t>
          </w:r>
        </w:p>
        <w:sdt>
          <w:sdtPr>
            <w:id w:val="-573587230"/>
            <w:bibliography/>
          </w:sdtPr>
          <w:sdtEndPr/>
          <w:sdtContent>
            <w:p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rsidR="00FD4CBB" w:rsidRDefault="00FD4CBB" w:rsidP="00FD4CBB">
              <w:pPr>
                <w:pStyle w:val="Bibliography"/>
                <w:ind w:left="720" w:hanging="720"/>
                <w:rPr>
                  <w:noProof/>
                </w:rPr>
              </w:pPr>
              <w:r>
                <w:rPr>
                  <w:noProof/>
                </w:rPr>
                <w:lastRenderedPageBreak/>
                <w:t xml:space="preserve">Fine MJ, P. H. (2000). Relation between length of hospital stay and costs of care for patients with community-acquired pneumonia. </w:t>
              </w:r>
              <w:r>
                <w:rPr>
                  <w:i/>
                  <w:iCs/>
                  <w:noProof/>
                </w:rPr>
                <w:t>The American Journal of Medicine</w:t>
              </w:r>
              <w:r>
                <w:rPr>
                  <w:noProof/>
                </w:rPr>
                <w:t>, 378-85.</w:t>
              </w:r>
            </w:p>
            <w:p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rsidR="00FD4CBB" w:rsidRDefault="00FD4CBB" w:rsidP="00FD4CBB">
              <w:r>
                <w:rPr>
                  <w:b/>
                  <w:bCs/>
                  <w:noProof/>
                </w:rPr>
                <w:fldChar w:fldCharType="end"/>
              </w:r>
            </w:p>
          </w:sdtContent>
        </w:sdt>
      </w:sdtContent>
    </w:sdt>
    <w:p w:rsidR="00FD4CBB" w:rsidRDefault="00FD4CBB"/>
    <w:sectPr w:rsidR="00FD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096CF9"/>
    <w:rsid w:val="000B5F81"/>
    <w:rsid w:val="0011746C"/>
    <w:rsid w:val="001634AC"/>
    <w:rsid w:val="002218BD"/>
    <w:rsid w:val="00256B79"/>
    <w:rsid w:val="00277F1A"/>
    <w:rsid w:val="003138CB"/>
    <w:rsid w:val="00313AA0"/>
    <w:rsid w:val="00351392"/>
    <w:rsid w:val="00357BFB"/>
    <w:rsid w:val="00366A62"/>
    <w:rsid w:val="003A1B77"/>
    <w:rsid w:val="003D0576"/>
    <w:rsid w:val="003E1299"/>
    <w:rsid w:val="003E53A7"/>
    <w:rsid w:val="004149BD"/>
    <w:rsid w:val="0043745E"/>
    <w:rsid w:val="00464513"/>
    <w:rsid w:val="004B4BA5"/>
    <w:rsid w:val="004D11B9"/>
    <w:rsid w:val="00596063"/>
    <w:rsid w:val="005C2068"/>
    <w:rsid w:val="005F39CC"/>
    <w:rsid w:val="00657BA3"/>
    <w:rsid w:val="00663392"/>
    <w:rsid w:val="006A70E3"/>
    <w:rsid w:val="006C0B06"/>
    <w:rsid w:val="00737222"/>
    <w:rsid w:val="00762807"/>
    <w:rsid w:val="00773365"/>
    <w:rsid w:val="007B1426"/>
    <w:rsid w:val="007E2EFF"/>
    <w:rsid w:val="0081241C"/>
    <w:rsid w:val="00835D7B"/>
    <w:rsid w:val="008454E5"/>
    <w:rsid w:val="008B32E2"/>
    <w:rsid w:val="00945FA2"/>
    <w:rsid w:val="009965F3"/>
    <w:rsid w:val="00A07F41"/>
    <w:rsid w:val="00A83A76"/>
    <w:rsid w:val="00AC7541"/>
    <w:rsid w:val="00B00450"/>
    <w:rsid w:val="00B01872"/>
    <w:rsid w:val="00B138B1"/>
    <w:rsid w:val="00B16111"/>
    <w:rsid w:val="00D010A9"/>
    <w:rsid w:val="00D60297"/>
    <w:rsid w:val="00D649C0"/>
    <w:rsid w:val="00D90501"/>
    <w:rsid w:val="00D97939"/>
    <w:rsid w:val="00DD0A8E"/>
    <w:rsid w:val="00E5134B"/>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7E5D"/>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E8B14D37-B48C-4739-B388-3421DA5E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Jones, Kai A.</cp:lastModifiedBy>
  <cp:revision>39</cp:revision>
  <dcterms:created xsi:type="dcterms:W3CDTF">2017-12-14T18:12:00Z</dcterms:created>
  <dcterms:modified xsi:type="dcterms:W3CDTF">2017-12-14T22:46:00Z</dcterms:modified>
</cp:coreProperties>
</file>