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Arial" w:hAnsi="Arial"/>
          <w:b/>
          <w:color w:val="7F55F7"/>
          <w:sz w:val="40"/>
        </w:rPr>
        <w:t>&lt;div align="center"&gt;📄 PayPerAI: Business &amp; Product Whitepaper&lt;/div&gt;</w:t>
      </w:r>
    </w:p>
    <w:p>
      <w:pPr>
        <w:spacing w:after="120"/>
      </w:pPr>
      <w:r>
        <w:rPr>
          <w:rFonts w:ascii="Arial" w:hAnsi="Arial"/>
        </w:rPr>
        <w:t>&lt;br/&gt;</w:t>
      </w:r>
    </w:p>
    <w:p>
      <w:pPr>
        <w:pStyle w:val="ListBullet"/>
        <w:spacing w:after="60"/>
      </w:pPr>
      <w:r>
        <w:rPr>
          <w:rFonts w:ascii="Arial" w:hAnsi="Arial"/>
        </w:rPr>
        <w:t>--</w:t>
      </w:r>
    </w:p>
    <w:p>
      <w:pPr>
        <w:keepNext/>
        <w:spacing w:before="240" w:after="120"/>
      </w:pPr>
      <w:r>
        <w:rPr>
          <w:rFonts w:ascii="Arial" w:hAnsi="Arial"/>
          <w:b/>
          <w:color w:val="009688"/>
          <w:sz w:val="30"/>
        </w:rPr>
        <w:t>👥 1. Target Users (Ideal Customer Profiles)</w:t>
      </w:r>
    </w:p>
    <w:p>
      <w:pPr>
        <w:spacing w:after="120"/>
      </w:pPr>
      <w:r>
        <w:rPr>
          <w:rFonts w:ascii="Arial" w:hAnsi="Arial"/>
        </w:rPr>
        <w:t>PayPerAI acts as a financial bridge connecting three distinct audience segments into a highly collaborative, self-sustaining ecosystem:</w:t>
      </w:r>
    </w:p>
    <w:p>
      <w:pPr>
        <w:spacing w:after="120"/>
      </w:pPr>
      <w:r>
        <w:rPr>
          <w:rFonts w:ascii="Arial" w:hAnsi="Arial"/>
        </w:rPr>
        <w:t>```text</w:t>
      </w:r>
    </w:p>
    <w:p>
      <w:pPr>
        <w:spacing w:after="120"/>
      </w:pPr>
      <w:r>
        <w:rPr>
          <w:rFonts w:ascii="Arial" w:hAnsi="Arial"/>
        </w:rPr>
        <w:t>┌──────────────────────┐      ┌──────────────────────┐      ┌──────────────────────┐</w:t>
      </w:r>
    </w:p>
    <w:p>
      <w:pPr>
        <w:spacing w:after="120"/>
      </w:pPr>
      <w:r>
        <w:rPr>
          <w:rFonts w:ascii="Arial" w:hAnsi="Arial"/>
        </w:rPr>
        <w:t>│   1. THE CONSUMER    │      │   2. THE DEVELOPER   │      │    3. THE CREATOR    │</w:t>
      </w:r>
    </w:p>
    <w:p>
      <w:pPr>
        <w:spacing w:after="120"/>
      </w:pPr>
      <w:r>
        <w:rPr>
          <w:rFonts w:ascii="Arial" w:hAnsi="Arial"/>
        </w:rPr>
        <w:t>│   Hates flat monthly │      │   Has under-utilized │      │   Wants zero-friction│</w:t>
      </w:r>
    </w:p>
    <w:p>
      <w:pPr>
        <w:spacing w:after="120"/>
      </w:pPr>
      <w:r>
        <w:rPr>
          <w:rFonts w:ascii="Arial" w:hAnsi="Arial"/>
        </w:rPr>
        <w:t>│   subscriptions.     │      │   API quotas to share│      │   royalties for AI   │</w:t>
      </w:r>
    </w:p>
    <w:p>
      <w:pPr>
        <w:spacing w:after="120"/>
      </w:pPr>
      <w:r>
        <w:rPr>
          <w:rFonts w:ascii="Arial" w:hAnsi="Arial"/>
        </w:rPr>
        <w:t>└──────────────────────┘      └──────────────────────┘      └──────────────────────┘</w:t>
      </w:r>
    </w:p>
    <w:p>
      <w:pPr>
        <w:spacing w:after="120"/>
      </w:pPr>
      <w:r>
        <w:rPr>
          <w:rFonts w:ascii="Arial" w:hAnsi="Arial"/>
        </w:rPr>
        <w:t>```</w:t>
      </w:r>
    </w:p>
    <w:p>
      <w:pPr>
        <w:keepNext/>
        <w:spacing w:before="240" w:after="120"/>
      </w:pPr>
      <w:r>
        <w:rPr>
          <w:rFonts w:ascii="Arial" w:hAnsi="Arial"/>
          <w:b/>
          <w:color w:val="333333"/>
          <w:sz w:val="24"/>
        </w:rPr>
        <w:t>A. The Smart Consumer (AI Power-Users)</w:t>
      </w:r>
    </w:p>
    <w:p>
      <w:pPr>
        <w:pStyle w:val="ListBullet"/>
        <w:spacing w:after="60"/>
      </w:pPr>
      <w:r>
        <w:rPr>
          <w:rFonts w:ascii="Arial" w:hAnsi="Arial"/>
        </w:rPr>
      </w:r>
      <w:r>
        <w:rPr>
          <w:rFonts w:ascii="Arial" w:hAnsi="Arial"/>
          <w:b/>
        </w:rPr>
        <w:t>Who they are:</w:t>
      </w:r>
      <w:r>
        <w:rPr>
          <w:rFonts w:ascii="Arial" w:hAnsi="Arial"/>
        </w:rPr>
        <w:t xml:space="preserve"> Students, researchers, and professional writers who switch between models (GPT-4o, Claude 3.5, Gemini 1.5) depending on the task.</w:t>
      </w:r>
    </w:p>
    <w:p>
      <w:pPr>
        <w:pStyle w:val="ListBullet"/>
        <w:spacing w:after="60"/>
      </w:pPr>
      <w:r>
        <w:rPr>
          <w:rFonts w:ascii="Arial" w:hAnsi="Arial"/>
        </w:rPr>
      </w:r>
      <w:r>
        <w:rPr>
          <w:rFonts w:ascii="Arial" w:hAnsi="Arial"/>
          <w:b/>
        </w:rPr>
        <w:t>Their pain point:</w:t>
      </w:r>
      <w:r>
        <w:rPr>
          <w:rFonts w:ascii="Arial" w:hAnsi="Arial"/>
        </w:rPr>
        <w:t xml:space="preserve"> Paying </w:t>
      </w:r>
      <w:r>
        <w:rPr>
          <w:rFonts w:ascii="Arial" w:hAnsi="Arial"/>
          <w:b/>
        </w:rPr>
        <w:t>$20/month</w:t>
      </w:r>
      <w:r>
        <w:rPr>
          <w:rFonts w:ascii="Arial" w:hAnsi="Arial"/>
        </w:rPr>
        <w:t xml:space="preserve"> to 3-4 different companies ($80+/month total) while only utilizing </w:t>
      </w:r>
      <w:r>
        <w:rPr>
          <w:rFonts w:ascii="Arial" w:hAnsi="Arial"/>
          <w:b/>
        </w:rPr>
        <w:t>15%</w:t>
      </w:r>
      <w:r>
        <w:rPr>
          <w:rFonts w:ascii="Arial" w:hAnsi="Arial"/>
        </w:rPr>
        <w:t xml:space="preserve"> of their monthly prompt limit on each.</w:t>
      </w:r>
    </w:p>
    <w:p>
      <w:pPr>
        <w:pStyle w:val="ListBullet"/>
        <w:spacing w:after="60"/>
      </w:pPr>
      <w:r>
        <w:rPr>
          <w:rFonts w:ascii="Arial" w:hAnsi="Arial"/>
        </w:rPr>
      </w:r>
      <w:r>
        <w:rPr>
          <w:rFonts w:ascii="Arial" w:hAnsi="Arial"/>
          <w:b/>
        </w:rPr>
        <w:t>PayPerAI Value:</w:t>
      </w:r>
      <w:r>
        <w:rPr>
          <w:rFonts w:ascii="Arial" w:hAnsi="Arial"/>
        </w:rPr>
        <w:t xml:space="preserve"> They pay </w:t>
      </w:r>
      <w:r>
        <w:rPr>
          <w:rFonts w:ascii="Arial" w:hAnsi="Arial"/>
          <w:b/>
        </w:rPr>
        <w:t>zero subscriptions</w:t>
      </w:r>
      <w:r>
        <w:rPr>
          <w:rFonts w:ascii="Arial" w:hAnsi="Arial"/>
        </w:rPr>
        <w:t xml:space="preserve">. Instead, they connect Pera Wallet once and stream responses, paying </w:t>
      </w:r>
      <w:r>
        <w:rPr>
          <w:rFonts w:ascii="Arial" w:hAnsi="Arial"/>
          <w:b/>
        </w:rPr>
        <w:t>less than $0.001 per prompt</w:t>
      </w:r>
      <w:r>
        <w:rPr>
          <w:rFonts w:ascii="Arial" w:hAnsi="Arial"/>
        </w:rPr>
        <w:t xml:space="preserve"> in MicroAlgos.</w:t>
      </w:r>
    </w:p>
    <w:p>
      <w:pPr>
        <w:keepNext/>
        <w:spacing w:before="240" w:after="120"/>
      </w:pPr>
      <w:r>
        <w:rPr>
          <w:rFonts w:ascii="Arial" w:hAnsi="Arial"/>
          <w:b/>
          <w:color w:val="333333"/>
          <w:sz w:val="24"/>
        </w:rPr>
        <w:t>B. The Idle Key Provider (P2P API Key Sellers)</w:t>
      </w:r>
    </w:p>
    <w:p>
      <w:pPr>
        <w:pStyle w:val="ListBullet"/>
        <w:spacing w:after="60"/>
      </w:pPr>
      <w:r>
        <w:rPr>
          <w:rFonts w:ascii="Arial" w:hAnsi="Arial"/>
        </w:rPr>
      </w:r>
      <w:r>
        <w:rPr>
          <w:rFonts w:ascii="Arial" w:hAnsi="Arial"/>
          <w:b/>
        </w:rPr>
        <w:t>Who they are:</w:t>
      </w:r>
      <w:r>
        <w:rPr>
          <w:rFonts w:ascii="Arial" w:hAnsi="Arial"/>
        </w:rPr>
        <w:t xml:space="preserve"> Developers and enterprise teams who have large, pre-paid API tier limits (e.g. Groq Enterprise, OpenAI Tier 5) that remain </w:t>
      </w:r>
      <w:r>
        <w:rPr>
          <w:rFonts w:ascii="Arial" w:hAnsi="Arial"/>
          <w:b/>
        </w:rPr>
        <w:t>90% idle</w:t>
      </w:r>
      <w:r>
        <w:rPr>
          <w:rFonts w:ascii="Arial" w:hAnsi="Arial"/>
        </w:rPr>
        <w:t xml:space="preserve"> during off-peak hours.</w:t>
      </w:r>
    </w:p>
    <w:p>
      <w:pPr>
        <w:pStyle w:val="ListBullet"/>
        <w:spacing w:after="60"/>
      </w:pPr>
      <w:r>
        <w:rPr>
          <w:rFonts w:ascii="Arial" w:hAnsi="Arial"/>
        </w:rPr>
      </w:r>
      <w:r>
        <w:rPr>
          <w:rFonts w:ascii="Arial" w:hAnsi="Arial"/>
          <w:b/>
        </w:rPr>
        <w:t>Their pain point:</w:t>
      </w:r>
      <w:r>
        <w:rPr>
          <w:rFonts w:ascii="Arial" w:hAnsi="Arial"/>
        </w:rPr>
        <w:t xml:space="preserve"> Wasted capital on pre-purchased quotas that expire at the end of the billing cycle.</w:t>
      </w:r>
    </w:p>
    <w:p>
      <w:pPr>
        <w:pStyle w:val="ListBullet"/>
        <w:spacing w:after="60"/>
      </w:pPr>
      <w:r>
        <w:rPr>
          <w:rFonts w:ascii="Arial" w:hAnsi="Arial"/>
        </w:rPr>
      </w:r>
      <w:r>
        <w:rPr>
          <w:rFonts w:ascii="Arial" w:hAnsi="Arial"/>
          <w:b/>
        </w:rPr>
        <w:t>PayPerAI Value:</w:t>
      </w:r>
      <w:r>
        <w:rPr>
          <w:rFonts w:ascii="Arial" w:hAnsi="Arial"/>
        </w:rPr>
        <w:t xml:space="preserve"> They securely encrypt and plug their idle API key into our marketplace. Other users execute queries against it, turning their wasted developer quotas into </w:t>
      </w:r>
      <w:r>
        <w:rPr>
          <w:rFonts w:ascii="Arial" w:hAnsi="Arial"/>
          <w:b/>
        </w:rPr>
        <w:t>active passive income streams</w:t>
      </w:r>
      <w:r>
        <w:rPr>
          <w:rFonts w:ascii="Arial" w:hAnsi="Arial"/>
        </w:rPr>
        <w:t xml:space="preserve"> paid directly to their wallet.</w:t>
      </w:r>
    </w:p>
    <w:p>
      <w:pPr>
        <w:keepNext/>
        <w:spacing w:before="240" w:after="120"/>
      </w:pPr>
      <w:r>
        <w:rPr>
          <w:rFonts w:ascii="Arial" w:hAnsi="Arial"/>
          <w:b/>
          <w:color w:val="333333"/>
          <w:sz w:val="24"/>
        </w:rPr>
        <w:t>C. Custom AI Agent Creators (The Prompt Engineers)</w:t>
      </w:r>
    </w:p>
    <w:p>
      <w:pPr>
        <w:pStyle w:val="ListBullet"/>
        <w:spacing w:after="60"/>
      </w:pPr>
      <w:r>
        <w:rPr>
          <w:rFonts w:ascii="Arial" w:hAnsi="Arial"/>
        </w:rPr>
      </w:r>
      <w:r>
        <w:rPr>
          <w:rFonts w:ascii="Arial" w:hAnsi="Arial"/>
          <w:b/>
        </w:rPr>
        <w:t>Who they are:</w:t>
      </w:r>
      <w:r>
        <w:rPr>
          <w:rFonts w:ascii="Arial" w:hAnsi="Arial"/>
        </w:rPr>
        <w:t xml:space="preserve"> Creators who build highly specialized AI personas, custom system prompts, or automated workflows.</w:t>
      </w:r>
    </w:p>
    <w:p>
      <w:pPr>
        <w:pStyle w:val="ListBullet"/>
        <w:spacing w:after="60"/>
      </w:pPr>
      <w:r>
        <w:rPr>
          <w:rFonts w:ascii="Arial" w:hAnsi="Arial"/>
        </w:rPr>
      </w:r>
      <w:r>
        <w:rPr>
          <w:rFonts w:ascii="Arial" w:hAnsi="Arial"/>
          <w:b/>
        </w:rPr>
        <w:t>Their pain point:</w:t>
      </w:r>
      <w:r>
        <w:rPr>
          <w:rFonts w:ascii="Arial" w:hAnsi="Arial"/>
        </w:rPr>
        <w:t xml:space="preserve"> Deploying AI agents requires hosting servers, setting up credit card billings, and bearing the cost of user queries.</w:t>
      </w:r>
    </w:p>
    <w:p>
      <w:pPr>
        <w:pStyle w:val="ListBullet"/>
        <w:spacing w:after="60"/>
      </w:pPr>
      <w:r>
        <w:rPr>
          <w:rFonts w:ascii="Arial" w:hAnsi="Arial"/>
        </w:rPr>
      </w:r>
      <w:r>
        <w:rPr>
          <w:rFonts w:ascii="Arial" w:hAnsi="Arial"/>
          <w:b/>
        </w:rPr>
        <w:t>PayPerAI Value:</w:t>
      </w:r>
      <w:r>
        <w:rPr>
          <w:rFonts w:ascii="Arial" w:hAnsi="Arial"/>
        </w:rPr>
        <w:t xml:space="preserve"> They deploy their agent to our on-chain marketplace for free. The Algorand contract automatically handles the payment billing, granting the creator an instant </w:t>
      </w:r>
      <w:r>
        <w:rPr>
          <w:rFonts w:ascii="Arial" w:hAnsi="Arial"/>
          <w:b/>
        </w:rPr>
        <w:t>90% split</w:t>
      </w:r>
      <w:r>
        <w:rPr>
          <w:rFonts w:ascii="Arial" w:hAnsi="Arial"/>
        </w:rPr>
        <w:t xml:space="preserve"> of all token queries processed by their agent.</w:t>
      </w:r>
    </w:p>
    <w:p>
      <w:pPr>
        <w:pStyle w:val="ListBullet"/>
        <w:spacing w:after="60"/>
      </w:pPr>
      <w:r>
        <w:rPr>
          <w:rFonts w:ascii="Arial" w:hAnsi="Arial"/>
        </w:rPr>
        <w:t>--</w:t>
      </w:r>
    </w:p>
    <w:p>
      <w:pPr>
        <w:keepNext/>
        <w:spacing w:before="240" w:after="120"/>
      </w:pPr>
      <w:r>
        <w:rPr>
          <w:rFonts w:ascii="Arial" w:hAnsi="Arial"/>
          <w:b/>
          <w:color w:val="009688"/>
          <w:sz w:val="30"/>
        </w:rPr>
        <w:t>🚀 2. Go-To-Market (GTM) Strategy</w:t>
      </w:r>
    </w:p>
    <w:p>
      <w:pPr>
        <w:spacing w:after="120"/>
      </w:pPr>
      <w:r>
        <w:rPr>
          <w:rFonts w:ascii="Arial" w:hAnsi="Arial"/>
        </w:rPr>
        <w:t>To capture the market quickly and organically with zero upfront advertising cost, we leverage a three-phase GTM model:</w:t>
      </w:r>
    </w:p>
    <w:p>
      <w:pPr>
        <w:spacing w:after="120"/>
      </w:pPr>
      <w:r>
        <w:rPr>
          <w:rFonts w:ascii="Arial" w:hAnsi="Arial"/>
        </w:rPr>
        <w:t>```mermaid</w:t>
      </w:r>
    </w:p>
    <w:p>
      <w:pPr>
        <w:spacing w:after="120"/>
      </w:pPr>
      <w:r>
        <w:rPr>
          <w:rFonts w:ascii="Arial" w:hAnsi="Arial"/>
        </w:rPr>
        <w:t>graph LR</w:t>
      </w:r>
    </w:p>
    <w:p>
      <w:pPr>
        <w:spacing w:after="120"/>
      </w:pPr>
      <w:r>
        <w:rPr>
          <w:rFonts w:ascii="Arial" w:hAnsi="Arial"/>
        </w:rPr>
        <w:t>A[Phase 1: Developer Hub] --&gt; B[Phase 2: Creator Economy]</w:t>
      </w:r>
    </w:p>
    <w:p>
      <w:pPr>
        <w:spacing w:after="120"/>
      </w:pPr>
      <w:r>
        <w:rPr>
          <w:rFonts w:ascii="Arial" w:hAnsi="Arial"/>
        </w:rPr>
        <w:t>B --&gt; C[Phase 3: P2P Scaling]</w:t>
      </w:r>
    </w:p>
    <w:p>
      <w:pPr>
        <w:spacing w:after="120"/>
      </w:pPr>
      <w:r>
        <w:rPr>
          <w:rFonts w:ascii="Arial" w:hAnsi="Arial"/>
        </w:rPr>
        <w:t>style A fill:#1e1e1e,stroke:#A855F7,stroke-width:2px,color:#fff</w:t>
      </w:r>
    </w:p>
    <w:p>
      <w:pPr>
        <w:spacing w:after="120"/>
      </w:pPr>
      <w:r>
        <w:rPr>
          <w:rFonts w:ascii="Arial" w:hAnsi="Arial"/>
        </w:rPr>
        <w:t>style B fill:#1e1e1e,stroke:#009688,stroke-width:2px,color:#fff</w:t>
      </w:r>
    </w:p>
    <w:p>
      <w:pPr>
        <w:spacing w:after="120"/>
      </w:pPr>
      <w:r>
        <w:rPr>
          <w:rFonts w:ascii="Arial" w:hAnsi="Arial"/>
        </w:rPr>
        <w:t>style C fill:#1e1e1e,stroke:#f59e0b,stroke-width:2px,color:#fff</w:t>
      </w:r>
    </w:p>
    <w:p>
      <w:pPr>
        <w:spacing w:after="120"/>
      </w:pPr>
      <w:r>
        <w:rPr>
          <w:rFonts w:ascii="Arial" w:hAnsi="Arial"/>
        </w:rPr>
        <w:t>```</w:t>
      </w:r>
    </w:p>
    <w:p>
      <w:pPr>
        <w:keepNext/>
        <w:spacing w:before="240" w:after="120"/>
      </w:pPr>
      <w:r>
        <w:rPr>
          <w:rFonts w:ascii="Arial" w:hAnsi="Arial"/>
          <w:b/>
          <w:color w:val="333333"/>
          <w:sz w:val="24"/>
        </w:rPr>
        <w:t>Phase 1: Developer Hub &amp; Hackathon Launch</w:t>
      </w:r>
    </w:p>
    <w:p>
      <w:pPr>
        <w:pStyle w:val="ListBullet"/>
        <w:spacing w:after="60"/>
      </w:pPr>
      <w:r>
        <w:rPr>
          <w:rFonts w:ascii="Arial" w:hAnsi="Arial"/>
        </w:rPr>
      </w:r>
      <w:r>
        <w:rPr>
          <w:rFonts w:ascii="Arial" w:hAnsi="Arial"/>
          <w:b/>
        </w:rPr>
        <w:t>Action:</w:t>
      </w:r>
      <w:r>
        <w:rPr>
          <w:rFonts w:ascii="Arial" w:hAnsi="Arial"/>
        </w:rPr>
        <w:t xml:space="preserve"> Target Web3 developer communities, developer DAOs (like Developer DAO, Gitcoin), and Algorand hackathons.</w:t>
      </w:r>
    </w:p>
    <w:p>
      <w:pPr>
        <w:pStyle w:val="ListBullet"/>
        <w:spacing w:after="60"/>
      </w:pPr>
      <w:r>
        <w:rPr>
          <w:rFonts w:ascii="Arial" w:hAnsi="Arial"/>
        </w:rPr>
      </w:r>
      <w:r>
        <w:rPr>
          <w:rFonts w:ascii="Arial" w:hAnsi="Arial"/>
          <w:b/>
        </w:rPr>
        <w:t>Incentive:</w:t>
      </w:r>
      <w:r>
        <w:rPr>
          <w:rFonts w:ascii="Arial" w:hAnsi="Arial"/>
        </w:rPr>
        <w:t xml:space="preserve"> Highlight the simplicity of </w:t>
      </w:r>
      <w:r>
        <w:rPr>
          <w:rFonts w:ascii="Arial" w:hAnsi="Arial"/>
          <w:b/>
        </w:rPr>
        <w:t>Bring Your Own Key (BYOK)</w:t>
      </w:r>
      <w:r>
        <w:rPr>
          <w:rFonts w:ascii="Arial" w:hAnsi="Arial"/>
        </w:rPr>
        <w:t xml:space="preserve"> and our open-source, W3C-compliant </w:t>
      </w:r>
      <w:r>
        <w:rPr>
          <w:rFonts w:ascii="Arial" w:hAnsi="Arial"/>
          <w:b/>
        </w:rPr>
        <w:t>Decentralized Identity (DID)</w:t>
      </w:r>
      <w:r>
        <w:rPr>
          <w:rFonts w:ascii="Arial" w:hAnsi="Arial"/>
        </w:rPr>
        <w:t xml:space="preserve"> structure. Developers adopt it to test models instantly without entering credit cards.</w:t>
      </w:r>
    </w:p>
    <w:p>
      <w:pPr>
        <w:keepNext/>
        <w:spacing w:before="240" w:after="120"/>
      </w:pPr>
      <w:r>
        <w:rPr>
          <w:rFonts w:ascii="Arial" w:hAnsi="Arial"/>
          <w:b/>
          <w:color w:val="333333"/>
          <w:sz w:val="24"/>
        </w:rPr>
        <w:t>Phase 2: The Creator Incentive Engine</w:t>
      </w:r>
    </w:p>
    <w:p>
      <w:pPr>
        <w:pStyle w:val="ListBullet"/>
        <w:spacing w:after="60"/>
      </w:pPr>
      <w:r>
        <w:rPr>
          <w:rFonts w:ascii="Arial" w:hAnsi="Arial"/>
        </w:rPr>
      </w:r>
      <w:r>
        <w:rPr>
          <w:rFonts w:ascii="Arial" w:hAnsi="Arial"/>
          <w:b/>
        </w:rPr>
        <w:t>Action:</w:t>
      </w:r>
      <w:r>
        <w:rPr>
          <w:rFonts w:ascii="Arial" w:hAnsi="Arial"/>
        </w:rPr>
        <w:t xml:space="preserve"> Partner with digital product marketplaces and prompt engineering networks.</w:t>
      </w:r>
    </w:p>
    <w:p>
      <w:pPr>
        <w:pStyle w:val="ListBullet"/>
        <w:spacing w:after="60"/>
      </w:pPr>
      <w:r>
        <w:rPr>
          <w:rFonts w:ascii="Arial" w:hAnsi="Arial"/>
        </w:rPr>
      </w:r>
      <w:r>
        <w:rPr>
          <w:rFonts w:ascii="Arial" w:hAnsi="Arial"/>
          <w:b/>
        </w:rPr>
        <w:t>Incentive:</w:t>
      </w:r>
      <w:r>
        <w:rPr>
          <w:rFonts w:ascii="Arial" w:hAnsi="Arial"/>
        </w:rPr>
        <w:t xml:space="preserve"> Offer creators a </w:t>
      </w:r>
      <w:r>
        <w:rPr>
          <w:rFonts w:ascii="Arial" w:hAnsi="Arial"/>
          <w:b/>
        </w:rPr>
        <w:t>90% payout split</w:t>
      </w:r>
      <w:r>
        <w:rPr>
          <w:rFonts w:ascii="Arial" w:hAnsi="Arial"/>
        </w:rPr>
        <w:t xml:space="preserve"> (compared to Apple/Android store fees of 30%, or centralized AI sites that pay less than 50%). Creators naturally market our platform to their audiences because it generates the highest payout yields for their prompts.</w:t>
      </w:r>
    </w:p>
    <w:p>
      <w:pPr>
        <w:keepNext/>
        <w:spacing w:before="240" w:after="120"/>
      </w:pPr>
      <w:r>
        <w:rPr>
          <w:rFonts w:ascii="Arial" w:hAnsi="Arial"/>
          <w:b/>
          <w:color w:val="333333"/>
          <w:sz w:val="24"/>
        </w:rPr>
        <w:t>Phase 3: The P2P Quota Campaign</w:t>
      </w:r>
    </w:p>
    <w:p>
      <w:pPr>
        <w:pStyle w:val="ListBullet"/>
        <w:spacing w:after="60"/>
      </w:pPr>
      <w:r>
        <w:rPr>
          <w:rFonts w:ascii="Arial" w:hAnsi="Arial"/>
        </w:rPr>
      </w:r>
      <w:r>
        <w:rPr>
          <w:rFonts w:ascii="Arial" w:hAnsi="Arial"/>
          <w:b/>
        </w:rPr>
        <w:t>Action:</w:t>
      </w:r>
      <w:r>
        <w:rPr>
          <w:rFonts w:ascii="Arial" w:hAnsi="Arial"/>
        </w:rPr>
        <w:t xml:space="preserve"> Launch a "Monetize Your Idle Quota" marketing campaign targetted at tech-savvy developers with extra API keys.</w:t>
      </w:r>
    </w:p>
    <w:p>
      <w:pPr>
        <w:pStyle w:val="ListBullet"/>
        <w:spacing w:after="60"/>
      </w:pPr>
      <w:r>
        <w:rPr>
          <w:rFonts w:ascii="Arial" w:hAnsi="Arial"/>
        </w:rPr>
      </w:r>
      <w:r>
        <w:rPr>
          <w:rFonts w:ascii="Arial" w:hAnsi="Arial"/>
          <w:b/>
        </w:rPr>
        <w:t>Incentive:</w:t>
      </w:r>
      <w:r>
        <w:rPr>
          <w:rFonts w:ascii="Arial" w:hAnsi="Arial"/>
        </w:rPr>
        <w:t xml:space="preserve"> Make listing an idle API key extremely secure via on-chain AES-256 key encryption. This creates a secondary market that drives down query prices for consumers while building a massive supply of cheap API routing endpoints.</w:t>
      </w:r>
    </w:p>
    <w:p>
      <w:pPr>
        <w:pStyle w:val="ListBullet"/>
        <w:spacing w:after="60"/>
      </w:pPr>
      <w:r>
        <w:rPr>
          <w:rFonts w:ascii="Arial" w:hAnsi="Arial"/>
        </w:rPr>
        <w:t>--</w:t>
      </w:r>
    </w:p>
    <w:p>
      <w:pPr>
        <w:keepNext/>
        <w:spacing w:before="240" w:after="120"/>
      </w:pPr>
      <w:r>
        <w:rPr>
          <w:rFonts w:ascii="Arial" w:hAnsi="Arial"/>
          <w:b/>
          <w:color w:val="009688"/>
          <w:sz w:val="30"/>
        </w:rPr>
        <w:t>💰 3. Revenue &amp; Monetization Model</w:t>
      </w:r>
    </w:p>
    <w:p>
      <w:pPr>
        <w:spacing w:after="120"/>
      </w:pPr>
      <w:r>
        <w:rPr>
          <w:rFonts w:ascii="Arial" w:hAnsi="Arial"/>
        </w:rPr>
        <w:t xml:space="preserve">PayPerAI operates on a highly scalable, transaction-volume-driven revenue model. There are </w:t>
      </w:r>
      <w:r>
        <w:rPr>
          <w:rFonts w:ascii="Arial" w:hAnsi="Arial"/>
          <w:b/>
        </w:rPr>
        <w:t>no fixed overheads</w:t>
      </w:r>
      <w:r>
        <w:rPr>
          <w:rFonts w:ascii="Arial" w:hAnsi="Arial"/>
        </w:rPr>
        <w:t xml:space="preserve"> or platform infrastructure subscription costs.</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7F55F7"/>
          </w:tcPr>
          <w:p>
            <w:r>
              <w:rPr>
                <w:rFonts w:ascii="Arial" w:hAnsi="Arial"/>
                <w:b/>
                <w:color w:val="FFFFFF"/>
              </w:rPr>
              <w:t>Revenue Stream</w:t>
            </w:r>
          </w:p>
        </w:tc>
        <w:tc>
          <w:tcPr>
            <w:tcW w:type="dxa" w:w="3120"/>
            <w:shd w:val="clear" w:color="auto" w:fill="7F55F7"/>
          </w:tcPr>
          <w:p>
            <w:r>
              <w:rPr>
                <w:rFonts w:ascii="Arial" w:hAnsi="Arial"/>
                <w:b/>
                <w:color w:val="FFFFFF"/>
              </w:rPr>
              <w:t>Fee Structure</w:t>
            </w:r>
          </w:p>
        </w:tc>
        <w:tc>
          <w:tcPr>
            <w:tcW w:type="dxa" w:w="3120"/>
            <w:shd w:val="clear" w:color="auto" w:fill="7F55F7"/>
          </w:tcPr>
          <w:p>
            <w:r>
              <w:rPr>
                <w:rFonts w:ascii="Arial" w:hAnsi="Arial"/>
                <w:b/>
                <w:color w:val="FFFFFF"/>
              </w:rPr>
              <w:t>Recipient</w:t>
            </w:r>
          </w:p>
        </w:tc>
      </w:tr>
      <w:tr>
        <w:tc>
          <w:tcPr>
            <w:tcW w:type="dxa" w:w="3120"/>
          </w:tcPr>
          <w:p>
            <w:r>
              <w:rPr>
                <w:rFonts w:ascii="Arial" w:hAnsi="Arial"/>
                <w:b/>
                <w:sz w:val="20"/>
              </w:rPr>
              <w:t>Token Settle Split</w:t>
            </w:r>
          </w:p>
        </w:tc>
        <w:tc>
          <w:tcPr>
            <w:tcW w:type="dxa" w:w="3120"/>
          </w:tcPr>
          <w:p>
            <w:r>
              <w:rPr>
                <w:rFonts w:ascii="Arial" w:hAnsi="Arial"/>
                <w:b/>
                <w:sz w:val="20"/>
              </w:rPr>
              <w:t>90% of dynamic token cost</w:t>
            </w:r>
          </w:p>
        </w:tc>
        <w:tc>
          <w:tcPr>
            <w:tcW w:type="dxa" w:w="3120"/>
          </w:tcPr>
          <w:p>
            <w:r>
              <w:rPr>
                <w:rFonts w:ascii="Arial" w:hAnsi="Arial"/>
                <w:sz w:val="20"/>
              </w:rPr>
              <w:t>AI Agent Creator / API Key Provider</w:t>
            </w:r>
          </w:p>
        </w:tc>
      </w:tr>
      <w:tr>
        <w:tc>
          <w:tcPr>
            <w:tcW w:type="dxa" w:w="3120"/>
          </w:tcPr>
          <w:p>
            <w:r>
              <w:rPr>
                <w:rFonts w:ascii="Arial" w:hAnsi="Arial"/>
                <w:b/>
                <w:sz w:val="20"/>
              </w:rPr>
              <w:t>Platform Hosting Cut</w:t>
            </w:r>
          </w:p>
        </w:tc>
        <w:tc>
          <w:tcPr>
            <w:tcW w:type="dxa" w:w="3120"/>
          </w:tcPr>
          <w:p>
            <w:r>
              <w:rPr>
                <w:rFonts w:ascii="Arial" w:hAnsi="Arial"/>
                <w:b/>
                <w:sz w:val="20"/>
              </w:rPr>
              <w:t>10% of dynamic token cost</w:t>
            </w:r>
          </w:p>
        </w:tc>
        <w:tc>
          <w:tcPr>
            <w:tcW w:type="dxa" w:w="3120"/>
          </w:tcPr>
          <w:p>
            <w:r>
              <w:rPr>
                <w:rFonts w:ascii="Arial" w:hAnsi="Arial"/>
                <w:sz w:val="20"/>
              </w:rPr>
              <w:t>PayPerAI Platform Wallet</w:t>
            </w:r>
          </w:p>
        </w:tc>
      </w:tr>
      <w:tr>
        <w:tc>
          <w:tcPr>
            <w:tcW w:type="dxa" w:w="3120"/>
          </w:tcPr>
          <w:p>
            <w:r>
              <w:rPr>
                <w:rFonts w:ascii="Arial" w:hAnsi="Arial"/>
                <w:b/>
                <w:sz w:val="20"/>
              </w:rPr>
              <w:t>1-Click NFT Minting</w:t>
            </w:r>
          </w:p>
        </w:tc>
        <w:tc>
          <w:tcPr>
            <w:tcW w:type="dxa" w:w="3120"/>
          </w:tcPr>
          <w:p>
            <w:r>
              <w:rPr>
                <w:rFonts w:ascii="Arial" w:hAnsi="Arial"/>
                <w:b/>
                <w:sz w:val="20"/>
              </w:rPr>
              <w:t>Flat Fee + Network Gas</w:t>
            </w:r>
          </w:p>
        </w:tc>
        <w:tc>
          <w:tcPr>
            <w:tcW w:type="dxa" w:w="3120"/>
          </w:tcPr>
          <w:p>
            <w:r>
              <w:rPr>
                <w:rFonts w:ascii="Arial" w:hAnsi="Arial"/>
                <w:sz w:val="20"/>
              </w:rPr>
              <w:t>Minting contract splits: 90% Creator / 10% Platform</w:t>
            </w:r>
          </w:p>
        </w:tc>
      </w:tr>
    </w:tbl>
    <w:p/>
    <w:tbl>
      <w:tblPr>
        <w:tblW w:type="auto" w:w="0"/>
        <w:tblLook w:firstColumn="1" w:firstRow="1" w:lastColumn="0" w:lastRow="0" w:noHBand="0" w:noVBand="1" w:val="04A0"/>
      </w:tblPr>
      <w:tblGrid>
        <w:gridCol w:w="9360"/>
      </w:tblGrid>
      <w:tr>
        <w:tc>
          <w:tcPr>
            <w:tcW w:type="dxa" w:w="9360"/>
            <w:shd w:val="clear" w:color="auto" w:fill="F3EFFF"/>
          </w:tcPr>
          <w:p>
            <w:pPr>
              <w:spacing w:before="120" w:after="120"/>
              <w:ind w:left="216" w:right="216"/>
            </w:pPr>
            <w:r>
              <w:rPr>
                <w:rFonts w:ascii="Arial" w:hAnsi="Arial"/>
                <w:i/>
                <w:color w:val="5533AA"/>
                <w:sz w:val="21"/>
              </w:rPr>
              <w:t>All fee payouts are calculated, split, and distributed atomically on-chain at the block execution level. The platform never holds or custody’s creator earnings.</w:t>
            </w:r>
          </w:p>
        </w:tc>
      </w:tr>
    </w:tbl>
    <w:p/>
    <w:p>
      <w:pPr>
        <w:pStyle w:val="ListBullet"/>
        <w:spacing w:after="60"/>
      </w:pPr>
      <w:r>
        <w:rPr>
          <w:rFonts w:ascii="Arial" w:hAnsi="Arial"/>
        </w:rPr>
        <w:t>--</w:t>
      </w:r>
    </w:p>
    <w:p>
      <w:pPr>
        <w:keepNext/>
        <w:spacing w:before="240" w:after="120"/>
      </w:pPr>
      <w:r>
        <w:rPr>
          <w:rFonts w:ascii="Arial" w:hAnsi="Arial"/>
          <w:b/>
          <w:color w:val="009688"/>
          <w:sz w:val="30"/>
        </w:rPr>
        <w:t>📊 4. Monetization Hypothesis</w:t>
      </w:r>
    </w:p>
    <w:p>
      <w:pPr>
        <w:spacing w:after="120"/>
      </w:pPr>
      <w:r>
        <w:rPr>
          <w:rFonts w:ascii="Arial" w:hAnsi="Arial"/>
        </w:rPr>
        <w:t>Our business model is built on two core consumer behavioral insights:</w:t>
      </w:r>
    </w:p>
    <w:p>
      <w:pPr>
        <w:keepNext/>
        <w:spacing w:before="240" w:after="120"/>
      </w:pPr>
      <w:r>
        <w:rPr>
          <w:rFonts w:ascii="Arial" w:hAnsi="Arial"/>
          <w:b/>
          <w:color w:val="333333"/>
          <w:sz w:val="24"/>
        </w:rPr>
        <w:t>Hypothesis A: Lowering the Financial Entry Barrier</w:t>
      </w:r>
    </w:p>
    <w:p>
      <w:pPr>
        <w:pStyle w:val="ListBullet"/>
        <w:spacing w:after="60"/>
      </w:pPr>
      <w:r>
        <w:rPr>
          <w:rFonts w:ascii="Arial" w:hAnsi="Arial"/>
        </w:rPr>
      </w:r>
      <w:r>
        <w:rPr>
          <w:rFonts w:ascii="Arial" w:hAnsi="Arial"/>
          <w:b/>
        </w:rPr>
        <w:t>Traditional Model:</w:t>
      </w:r>
      <w:r>
        <w:rPr>
          <w:rFonts w:ascii="Arial" w:hAnsi="Arial"/>
        </w:rPr>
        <w:t xml:space="preserve"> Users must commit to a </w:t>
      </w:r>
      <w:r>
        <w:rPr>
          <w:rFonts w:ascii="Arial" w:hAnsi="Arial"/>
          <w:b/>
        </w:rPr>
        <w:t>$20/month</w:t>
      </w:r>
      <w:r>
        <w:rPr>
          <w:rFonts w:ascii="Arial" w:hAnsi="Arial"/>
        </w:rPr>
        <w:t xml:space="preserve"> upfront subscription to test a premium model. This results in high user bounce rates (over 92%).</w:t>
      </w:r>
    </w:p>
    <w:p>
      <w:pPr>
        <w:pStyle w:val="ListBullet"/>
        <w:spacing w:after="60"/>
      </w:pPr>
      <w:r>
        <w:rPr>
          <w:rFonts w:ascii="Arial" w:hAnsi="Arial"/>
        </w:rPr>
      </w:r>
      <w:r>
        <w:rPr>
          <w:rFonts w:ascii="Arial" w:hAnsi="Arial"/>
          <w:b/>
        </w:rPr>
        <w:t>PayPerAI Model:</w:t>
      </w:r>
      <w:r>
        <w:rPr>
          <w:rFonts w:ascii="Arial" w:hAnsi="Arial"/>
        </w:rPr>
        <w:t xml:space="preserve"> By offering </w:t>
      </w:r>
      <w:r>
        <w:rPr>
          <w:rFonts w:ascii="Arial" w:hAnsi="Arial"/>
          <w:b/>
        </w:rPr>
        <w:t>$0.001 micro-payments</w:t>
      </w:r>
      <w:r>
        <w:rPr>
          <w:rFonts w:ascii="Arial" w:hAnsi="Arial"/>
        </w:rPr>
        <w:t xml:space="preserve">, we lower the barrier to entry to virtually zero. A user can run </w:t>
      </w:r>
      <w:r>
        <w:rPr>
          <w:rFonts w:ascii="Arial" w:hAnsi="Arial"/>
          <w:b/>
        </w:rPr>
        <w:t>2,000 queries</w:t>
      </w:r>
      <w:r>
        <w:rPr>
          <w:rFonts w:ascii="Arial" w:hAnsi="Arial"/>
        </w:rPr>
        <w:t xml:space="preserve"> on PayPerAI before they match the cost of a single monthly ChatGPT subscription.</w:t>
      </w:r>
    </w:p>
    <w:p>
      <w:pPr>
        <w:pStyle w:val="ListBullet"/>
        <w:spacing w:after="60"/>
      </w:pPr>
      <w:r>
        <w:rPr>
          <w:rFonts w:ascii="Arial" w:hAnsi="Arial"/>
        </w:rPr>
      </w:r>
      <w:r>
        <w:rPr>
          <w:rFonts w:ascii="Arial" w:hAnsi="Arial"/>
          <w:b/>
        </w:rPr>
        <w:t>Expected Outcome:</w:t>
      </w:r>
      <w:r>
        <w:rPr>
          <w:rFonts w:ascii="Arial" w:hAnsi="Arial"/>
        </w:rPr>
        <w:t xml:space="preserve"> Massive user onboarding velocity, high retention rates, and immediate utility verification.</w:t>
      </w:r>
    </w:p>
    <w:p>
      <w:pPr>
        <w:keepNext/>
        <w:spacing w:before="240" w:after="120"/>
      </w:pPr>
      <w:r>
        <w:rPr>
          <w:rFonts w:ascii="Arial" w:hAnsi="Arial"/>
          <w:b/>
          <w:color w:val="333333"/>
          <w:sz w:val="24"/>
        </w:rPr>
        <w:t>Hypothesis B: The P2P Sharing Yield</w:t>
      </w:r>
    </w:p>
    <w:p>
      <w:pPr>
        <w:pStyle w:val="ListBullet"/>
        <w:spacing w:after="60"/>
      </w:pPr>
      <w:r>
        <w:rPr>
          <w:rFonts w:ascii="Arial" w:hAnsi="Arial"/>
        </w:rPr>
      </w:r>
      <w:r>
        <w:rPr>
          <w:rFonts w:ascii="Arial" w:hAnsi="Arial"/>
          <w:b/>
        </w:rPr>
        <w:t>Traditional Model:</w:t>
      </w:r>
      <w:r>
        <w:rPr>
          <w:rFonts w:ascii="Arial" w:hAnsi="Arial"/>
        </w:rPr>
        <w:t xml:space="preserve"> Flat API keys are private, expensive, and under-utilized.</w:t>
      </w:r>
    </w:p>
    <w:p>
      <w:pPr>
        <w:pStyle w:val="ListBullet"/>
        <w:spacing w:after="60"/>
      </w:pPr>
      <w:r>
        <w:rPr>
          <w:rFonts w:ascii="Arial" w:hAnsi="Arial"/>
        </w:rPr>
      </w:r>
      <w:r>
        <w:rPr>
          <w:rFonts w:ascii="Arial" w:hAnsi="Arial"/>
          <w:b/>
        </w:rPr>
        <w:t>PayPerAI Model:</w:t>
      </w:r>
      <w:r>
        <w:rPr>
          <w:rFonts w:ascii="Arial" w:hAnsi="Arial"/>
        </w:rPr>
        <w:t xml:space="preserve"> We create a liquid, peer-to-peer sharing economy for computing quotas. Key providers are highly motivated to keep their keys listed to collect continuous passive yield.</w:t>
      </w:r>
    </w:p>
    <w:p>
      <w:pPr>
        <w:pStyle w:val="ListBullet"/>
        <w:spacing w:after="60"/>
      </w:pPr>
      <w:r>
        <w:rPr>
          <w:rFonts w:ascii="Arial" w:hAnsi="Arial"/>
        </w:rPr>
      </w:r>
      <w:r>
        <w:rPr>
          <w:rFonts w:ascii="Arial" w:hAnsi="Arial"/>
          <w:b/>
        </w:rPr>
        <w:t>Expected Outcome:</w:t>
      </w:r>
      <w:r>
        <w:rPr>
          <w:rFonts w:ascii="Arial" w:hAnsi="Arial"/>
        </w:rPr>
        <w:t xml:space="preserve"> The price per token query decreases exponentially as more providers compete to route queries, making PayPerAI significantly cheaper than standard retail AI APIs.</w:t>
      </w:r>
    </w:p>
    <w:p>
      <w:pPr>
        <w:pStyle w:val="ListBullet"/>
        <w:spacing w:after="60"/>
      </w:pPr>
      <w:r>
        <w:rPr>
          <w:rFonts w:ascii="Arial" w:hAnsi="Arial"/>
        </w:rPr>
        <w:t>--</w:t>
      </w:r>
    </w:p>
    <w:p>
      <w:pPr>
        <w:keepNext/>
        <w:spacing w:before="240" w:after="120"/>
      </w:pPr>
      <w:r>
        <w:rPr>
          <w:rFonts w:ascii="Arial" w:hAnsi="Arial"/>
          <w:b/>
          <w:color w:val="009688"/>
          <w:sz w:val="30"/>
        </w:rPr>
        <w:t>⛓️ 5. Why Algorand is the Ultimate Blockchain for PayPerAI</w:t>
      </w:r>
    </w:p>
    <w:p>
      <w:pPr>
        <w:spacing w:after="120"/>
      </w:pPr>
      <w:r>
        <w:rPr>
          <w:rFonts w:ascii="Arial" w:hAnsi="Arial"/>
        </w:rPr>
        <w:t>Traditional L1 blockchains (like Ethereum or Solana) are fundamentally unsuited for high-density, real-time micro-payments. Algorand is the only ledger that makes PayPerAI commercially viable:</w:t>
      </w:r>
    </w:p>
    <w:tbl>
      <w:tblPr>
        <w:tblW w:type="auto" w:w="0"/>
        <w:tblLook w:firstColumn="1" w:firstRow="1" w:lastColumn="0" w:lastRow="0" w:noHBand="0" w:noVBand="1" w:val="04A0"/>
      </w:tblPr>
      <w:tblGrid>
        <w:gridCol w:w="9360"/>
      </w:tblGrid>
      <w:tr>
        <w:tc>
          <w:tcPr>
            <w:tcW w:type="dxa" w:w="9360"/>
            <w:shd w:val="clear" w:color="auto" w:fill="F3EFFF"/>
          </w:tcPr>
          <w:p>
            <w:pPr>
              <w:spacing w:before="120" w:after="120"/>
              <w:ind w:left="216" w:right="216"/>
            </w:pPr>
            <w:r>
              <w:rPr>
                <w:rFonts w:ascii="Arial" w:hAnsi="Arial"/>
                <w:i/>
                <w:color w:val="5533AA"/>
                <w:sz w:val="21"/>
              </w:rPr>
              <w:t>### ⚡ Four Pillars of the Algorand Advantage:</w:t>
            </w:r>
          </w:p>
        </w:tc>
      </w:tr>
    </w:tbl>
    <w:p/>
    <w:tbl>
      <w:tblPr>
        <w:tblW w:type="auto" w:w="0"/>
        <w:tblLook w:firstColumn="1" w:firstRow="1" w:lastColumn="0" w:lastRow="0" w:noHBand="0" w:noVBand="1" w:val="04A0"/>
      </w:tblPr>
      <w:tblGrid>
        <w:gridCol w:w="9360"/>
      </w:tblGrid>
      <w:tr>
        <w:tc>
          <w:tcPr>
            <w:tcW w:type="dxa" w:w="9360"/>
            <w:shd w:val="clear" w:color="auto" w:fill="F3EFFF"/>
          </w:tcPr>
          <w:p>
            <w:pPr>
              <w:spacing w:before="120" w:after="120"/>
              <w:ind w:left="216" w:right="216"/>
            </w:pPr>
            <w:r>
              <w:rPr>
                <w:rFonts w:ascii="Arial" w:hAnsi="Arial"/>
                <w:i/>
                <w:color w:val="5533AA"/>
                <w:sz w:val="21"/>
              </w:rPr>
              <w:t>1. Ultra-Low Micro-Fees: Algorand transaction fees are fixed at 0.001 ALGO ($0.0001). Billing a user $0.001 for a query is impossible on Ethereum (where gas can be $5) but perfectly viable on Algorand.</w:t>
            </w:r>
          </w:p>
        </w:tc>
      </w:tr>
    </w:tbl>
    <w:p/>
    <w:tbl>
      <w:tblPr>
        <w:tblW w:type="auto" w:w="0"/>
        <w:tblLook w:firstColumn="1" w:firstRow="1" w:lastColumn="0" w:lastRow="0" w:noHBand="0" w:noVBand="1" w:val="04A0"/>
      </w:tblPr>
      <w:tblGrid>
        <w:gridCol w:w="9360"/>
      </w:tblGrid>
      <w:tr>
        <w:tc>
          <w:tcPr>
            <w:tcW w:type="dxa" w:w="9360"/>
            <w:shd w:val="clear" w:color="auto" w:fill="F3EFFF"/>
          </w:tcPr>
          <w:p>
            <w:pPr>
              <w:spacing w:before="120" w:after="120"/>
              <w:ind w:left="216" w:right="216"/>
            </w:pPr>
            <w:r>
              <w:rPr>
                <w:rFonts w:ascii="Arial" w:hAnsi="Arial"/>
                <w:i/>
                <w:color w:val="5533AA"/>
                <w:sz w:val="21"/>
              </w:rPr>
              <w:t>2. Instant Finality (2.8 Seconds): Algorand blocks settle in under 3 seconds with zero risk of forks. This guarantees real-time, Web2-grade character streaming without waiting for block confirmations.</w:t>
            </w:r>
          </w:p>
        </w:tc>
      </w:tr>
    </w:tbl>
    <w:p/>
    <w:tbl>
      <w:tblPr>
        <w:tblW w:type="auto" w:w="0"/>
        <w:tblLook w:firstColumn="1" w:firstRow="1" w:lastColumn="0" w:lastRow="0" w:noHBand="0" w:noVBand="1" w:val="04A0"/>
      </w:tblPr>
      <w:tblGrid>
        <w:gridCol w:w="9360"/>
      </w:tblGrid>
      <w:tr>
        <w:tc>
          <w:tcPr>
            <w:tcW w:type="dxa" w:w="9360"/>
            <w:shd w:val="clear" w:color="auto" w:fill="F3EFFF"/>
          </w:tcPr>
          <w:p>
            <w:pPr>
              <w:spacing w:before="120" w:after="120"/>
              <w:ind w:left="216" w:right="216"/>
            </w:pPr>
            <w:r>
              <w:rPr>
                <w:rFonts w:ascii="Arial" w:hAnsi="Arial"/>
                <w:i/>
                <w:color w:val="5533AA"/>
                <w:sz w:val="21"/>
              </w:rPr>
              <w:t>3. ARC-0060 Box Storage: Instead of expensive smart contract global states, Algorand Box Storage dynamically registers sessions at a fraction of the cost, making user state tracking highly scalable.</w:t>
            </w:r>
          </w:p>
        </w:tc>
      </w:tr>
    </w:tbl>
    <w:p/>
    <w:tbl>
      <w:tblPr>
        <w:tblW w:type="auto" w:w="0"/>
        <w:tblLook w:firstColumn="1" w:firstRow="1" w:lastColumn="0" w:lastRow="0" w:noHBand="0" w:noVBand="1" w:val="04A0"/>
      </w:tblPr>
      <w:tblGrid>
        <w:gridCol w:w="9360"/>
      </w:tblGrid>
      <w:tr>
        <w:tc>
          <w:tcPr>
            <w:tcW w:type="dxa" w:w="9360"/>
            <w:shd w:val="clear" w:color="auto" w:fill="F3EFFF"/>
          </w:tcPr>
          <w:p>
            <w:pPr>
              <w:spacing w:before="120" w:after="120"/>
              <w:ind w:left="216" w:right="216"/>
            </w:pPr>
            <w:r>
              <w:rPr>
                <w:rFonts w:ascii="Arial" w:hAnsi="Arial"/>
                <w:i/>
                <w:color w:val="5533AA"/>
                <w:sz w:val="21"/>
              </w:rPr>
              <w:t>4. Self-Custodial Security: Dynamic transaction grouping lets users authorize safe, balance-aware smart sessions without giving up custody of their wallet keys.</w:t>
            </w:r>
          </w:p>
        </w:tc>
      </w:tr>
    </w:tbl>
    <w:p/>
    <w:p>
      <w:pPr>
        <w:pStyle w:val="ListBullet"/>
        <w:spacing w:after="60"/>
      </w:pPr>
      <w:r>
        <w:rPr>
          <w:rFonts w:ascii="Arial" w:hAnsi="Arial"/>
        </w:rPr>
        <w:t>--</w:t>
      </w:r>
    </w:p>
    <w:p>
      <w:pPr>
        <w:keepNext/>
        <w:spacing w:before="240" w:after="120"/>
      </w:pPr>
      <w:r>
        <w:rPr>
          <w:rFonts w:ascii="Arial" w:hAnsi="Arial"/>
          <w:b/>
          <w:color w:val="009688"/>
          <w:sz w:val="30"/>
        </w:rPr>
        <w:t>🔮 6. Scalability Vision</w:t>
      </w:r>
    </w:p>
    <w:p>
      <w:pPr>
        <w:spacing w:after="120"/>
      </w:pPr>
      <w:r>
        <w:rPr>
          <w:rFonts w:ascii="Arial" w:hAnsi="Arial"/>
        </w:rPr>
        <w:t>Our long-term roadmap focuses on building a unified, chain-agnostic decentralized AI economy:</w:t>
      </w:r>
    </w:p>
    <w:p>
      <w:pPr>
        <w:keepNext/>
        <w:spacing w:before="240" w:after="120"/>
      </w:pPr>
      <w:r>
        <w:rPr>
          <w:rFonts w:ascii="Arial" w:hAnsi="Arial"/>
          <w:b/>
          <w:color w:val="333333"/>
          <w:sz w:val="24"/>
        </w:rPr>
        <w:t>Phase 1: Cross-Chain Bridging (Wormhole Integration)</w:t>
      </w:r>
    </w:p>
    <w:p>
      <w:pPr>
        <w:pStyle w:val="ListBullet"/>
        <w:spacing w:after="60"/>
      </w:pPr>
      <w:r>
        <w:rPr>
          <w:rFonts w:ascii="Arial" w:hAnsi="Arial"/>
        </w:rPr>
      </w:r>
      <w:r>
        <w:rPr>
          <w:rFonts w:ascii="Arial" w:hAnsi="Arial"/>
          <w:b/>
        </w:rPr>
        <w:t>Vision:</w:t>
      </w:r>
      <w:r>
        <w:rPr>
          <w:rFonts w:ascii="Arial" w:hAnsi="Arial"/>
        </w:rPr>
        <w:t xml:space="preserve"> Enable users from Ethereum, Solana, and Base to access PayPerAI.</w:t>
      </w:r>
    </w:p>
    <w:p>
      <w:pPr>
        <w:pStyle w:val="ListBullet"/>
        <w:spacing w:after="60"/>
      </w:pPr>
      <w:r>
        <w:rPr>
          <w:rFonts w:ascii="Arial" w:hAnsi="Arial"/>
        </w:rPr>
      </w:r>
      <w:r>
        <w:rPr>
          <w:rFonts w:ascii="Arial" w:hAnsi="Arial"/>
          <w:b/>
        </w:rPr>
        <w:t>Mechanism:</w:t>
      </w:r>
      <w:r>
        <w:rPr>
          <w:rFonts w:ascii="Arial" w:hAnsi="Arial"/>
        </w:rPr>
        <w:t xml:space="preserve"> Integrate Wormhole contracts so users can lock assets (like USDC) on their native chain, automatically spinning up an Algorand smart session in the background without needing Pera Wallet or holding ALGO.</w:t>
      </w:r>
    </w:p>
    <w:p>
      <w:pPr>
        <w:keepNext/>
        <w:spacing w:before="240" w:after="120"/>
      </w:pPr>
      <w:r>
        <w:rPr>
          <w:rFonts w:ascii="Arial" w:hAnsi="Arial"/>
          <w:b/>
          <w:color w:val="333333"/>
          <w:sz w:val="24"/>
        </w:rPr>
        <w:t>Phase 2: Yield-Bearing Active Escrows (Folks Finance Integration)</w:t>
      </w:r>
    </w:p>
    <w:p>
      <w:pPr>
        <w:pStyle w:val="ListBullet"/>
        <w:spacing w:after="60"/>
      </w:pPr>
      <w:r>
        <w:rPr>
          <w:rFonts w:ascii="Arial" w:hAnsi="Arial"/>
        </w:rPr>
      </w:r>
      <w:r>
        <w:rPr>
          <w:rFonts w:ascii="Arial" w:hAnsi="Arial"/>
          <w:b/>
        </w:rPr>
        <w:t>Vision:</w:t>
      </w:r>
      <w:r>
        <w:rPr>
          <w:rFonts w:ascii="Arial" w:hAnsi="Arial"/>
        </w:rPr>
        <w:t xml:space="preserve"> Turn locked user balances into active interest-earning assets.</w:t>
      </w:r>
    </w:p>
    <w:p>
      <w:pPr>
        <w:pStyle w:val="ListBullet"/>
        <w:spacing w:after="60"/>
      </w:pPr>
      <w:r>
        <w:rPr>
          <w:rFonts w:ascii="Arial" w:hAnsi="Arial"/>
        </w:rPr>
      </w:r>
      <w:r>
        <w:rPr>
          <w:rFonts w:ascii="Arial" w:hAnsi="Arial"/>
          <w:b/>
        </w:rPr>
        <w:t>Mechanism:</w:t>
      </w:r>
      <w:r>
        <w:rPr>
          <w:rFonts w:ascii="Arial" w:hAnsi="Arial"/>
        </w:rPr>
        <w:t xml:space="preserve"> Lock-up deposits inside the contract Box escrow are dynamically routed into Folks Finance lending pools as `fALGO`. Users earn interest on their escrow deposit *while actively chatting*, subsidizing their query costs to zero.</w:t>
      </w:r>
    </w:p>
    <w:p>
      <w:pPr>
        <w:keepNext/>
        <w:spacing w:before="240" w:after="120"/>
      </w:pPr>
      <w:r>
        <w:rPr>
          <w:rFonts w:ascii="Arial" w:hAnsi="Arial"/>
          <w:b/>
          <w:color w:val="333333"/>
          <w:sz w:val="24"/>
        </w:rPr>
        <w:t>Phase 3: Decentralized Computational Routing</w:t>
      </w:r>
    </w:p>
    <w:p>
      <w:pPr>
        <w:pStyle w:val="ListBullet"/>
        <w:spacing w:after="60"/>
      </w:pPr>
      <w:r>
        <w:rPr>
          <w:rFonts w:ascii="Arial" w:hAnsi="Arial"/>
        </w:rPr>
      </w:r>
      <w:r>
        <w:rPr>
          <w:rFonts w:ascii="Arial" w:hAnsi="Arial"/>
          <w:b/>
        </w:rPr>
        <w:t>Vision:</w:t>
      </w:r>
      <w:r>
        <w:rPr>
          <w:rFonts w:ascii="Arial" w:hAnsi="Arial"/>
        </w:rPr>
        <w:t xml:space="preserve"> Transition from API endpoints to decentralized GPU processing nodes (like Akash or Render Network).</w:t>
      </w:r>
    </w:p>
    <w:p>
      <w:pPr>
        <w:pStyle w:val="ListBullet"/>
        <w:spacing w:after="60"/>
      </w:pPr>
      <w:r>
        <w:rPr>
          <w:rFonts w:ascii="Arial" w:hAnsi="Arial"/>
        </w:rPr>
      </w:r>
      <w:r>
        <w:rPr>
          <w:rFonts w:ascii="Arial" w:hAnsi="Arial"/>
          <w:b/>
        </w:rPr>
        <w:t>Mechanism:</w:t>
      </w:r>
      <w:r>
        <w:rPr>
          <w:rFonts w:ascii="Arial" w:hAnsi="Arial"/>
        </w:rPr>
        <w:t xml:space="preserve"> Pay-Per-Token smart contracts settle payouts directly to decentralized GPU hardware operators on a block-by-block basis, establishing a fully decentralized, censorship-resistant AI ecosystem.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